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55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59230" cy="608076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9230" cy="60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40" w:bottom="280" w:left="800" w:right="800"/>
        </w:sectPr>
      </w:pPr>
    </w:p>
    <w:p>
      <w:pPr>
        <w:pStyle w:val="BodyText"/>
        <w:spacing w:before="3"/>
        <w:rPr>
          <w:rFonts w:ascii="Times New Roman"/>
          <w:sz w:val="23"/>
        </w:rPr>
      </w:pPr>
    </w:p>
    <w:p>
      <w:pPr>
        <w:pStyle w:val="Heading2"/>
        <w:ind w:left="545"/>
      </w:pPr>
      <w:r>
        <w:rPr>
          <w:color w:val="231F20"/>
        </w:rPr>
        <w:t>Vol 12, Issue 8, 2019</w:t>
      </w:r>
    </w:p>
    <w:p>
      <w:pPr>
        <w:pStyle w:val="BodyText"/>
        <w:spacing w:before="83"/>
        <w:ind w:left="776"/>
        <w:rPr>
          <w:rFonts w:ascii="Georgia"/>
        </w:rPr>
      </w:pPr>
      <w:r>
        <w:rPr/>
        <w:br w:type="column"/>
      </w:r>
      <w:r>
        <w:rPr>
          <w:rFonts w:ascii="Georgia"/>
          <w:color w:val="231F20"/>
          <w:w w:val="85"/>
        </w:rPr>
        <w:t>Online -</w:t>
      </w:r>
      <w:r>
        <w:rPr>
          <w:rFonts w:ascii="Georgia"/>
          <w:color w:val="231F20"/>
          <w:spacing w:val="18"/>
          <w:w w:val="85"/>
        </w:rPr>
        <w:t> </w:t>
      </w:r>
      <w:r>
        <w:rPr>
          <w:rFonts w:ascii="Georgia"/>
          <w:color w:val="231F20"/>
          <w:w w:val="85"/>
        </w:rPr>
        <w:t>2455-3891</w:t>
      </w:r>
    </w:p>
    <w:p>
      <w:pPr>
        <w:pStyle w:val="BodyText"/>
        <w:spacing w:before="8"/>
        <w:ind w:left="868"/>
        <w:rPr>
          <w:rFonts w:ascii="Georgia"/>
        </w:rPr>
      </w:pPr>
      <w:r>
        <w:rPr>
          <w:rFonts w:ascii="Georgia"/>
          <w:color w:val="231F20"/>
          <w:w w:val="90"/>
        </w:rPr>
        <w:t>Print</w:t>
      </w:r>
      <w:r>
        <w:rPr>
          <w:rFonts w:ascii="Georgia"/>
          <w:color w:val="231F20"/>
          <w:spacing w:val="-21"/>
          <w:w w:val="90"/>
        </w:rPr>
        <w:t> </w:t>
      </w:r>
      <w:r>
        <w:rPr>
          <w:rFonts w:ascii="Georgia"/>
          <w:color w:val="231F20"/>
          <w:w w:val="90"/>
        </w:rPr>
        <w:t>-</w:t>
      </w:r>
      <w:r>
        <w:rPr>
          <w:rFonts w:ascii="Georgia"/>
          <w:color w:val="231F20"/>
          <w:spacing w:val="-20"/>
          <w:w w:val="90"/>
        </w:rPr>
        <w:t> </w:t>
      </w:r>
      <w:r>
        <w:rPr>
          <w:rFonts w:ascii="Georgia"/>
          <w:color w:val="231F20"/>
          <w:w w:val="90"/>
        </w:rPr>
        <w:t>0974-2441</w:t>
      </w:r>
    </w:p>
    <w:p>
      <w:pPr>
        <w:pStyle w:val="Heading1"/>
        <w:ind w:left="545"/>
        <w:rPr>
          <w:rFonts w:ascii="Times New Roman"/>
        </w:rPr>
      </w:pPr>
      <w:r>
        <w:rPr>
          <w:rFonts w:ascii="Times New Roman"/>
          <w:color w:val="231F20"/>
          <w:u w:val="single" w:color="231F20"/>
        </w:rPr>
        <w:t>Research</w:t>
      </w:r>
      <w:r>
        <w:rPr>
          <w:rFonts w:ascii="Times New Roman"/>
          <w:color w:val="231F20"/>
          <w:spacing w:val="-27"/>
          <w:u w:val="single" w:color="231F20"/>
        </w:rPr>
        <w:t> </w:t>
      </w:r>
      <w:r>
        <w:rPr>
          <w:rFonts w:ascii="Times New Roman"/>
          <w:color w:val="231F20"/>
          <w:u w:val="single" w:color="231F20"/>
        </w:rPr>
        <w:t>Article</w:t>
      </w:r>
    </w:p>
    <w:p>
      <w:pPr>
        <w:spacing w:after="0"/>
        <w:rPr>
          <w:rFonts w:ascii="Times New Roman"/>
        </w:rPr>
        <w:sectPr>
          <w:type w:val="continuous"/>
          <w:pgSz w:w="11910" w:h="16840"/>
          <w:pgMar w:top="140" w:bottom="280" w:left="800" w:right="800"/>
          <w:cols w:num="2" w:equalWidth="0">
            <w:col w:w="2078" w:space="5984"/>
            <w:col w:w="2248"/>
          </w:cols>
        </w:sectPr>
      </w:pPr>
    </w:p>
    <w:p>
      <w:pPr>
        <w:pStyle w:val="Title"/>
      </w:pPr>
      <w:r>
        <w:rPr>
          <w:color w:val="231F20"/>
        </w:rPr>
        <w:t>ENCAPSULATION OF IBUPROFEN INTO SOLID LIPID </w:t>
      </w:r>
      <w:r>
        <w:rPr>
          <w:color w:val="231F20"/>
          <w:spacing w:val="-4"/>
        </w:rPr>
        <w:t>NANOPARTICLES </w:t>
      </w:r>
      <w:r>
        <w:rPr>
          <w:color w:val="231F20"/>
        </w:rPr>
        <w:t>FOR CONTROLLED AND </w:t>
      </w:r>
      <w:r>
        <w:rPr>
          <w:color w:val="231F20"/>
          <w:spacing w:val="-4"/>
        </w:rPr>
        <w:t>SUSTAINED </w:t>
      </w:r>
      <w:r>
        <w:rPr>
          <w:color w:val="231F20"/>
        </w:rPr>
        <w:t>RELEASE USING </w:t>
      </w:r>
      <w:r>
        <w:rPr>
          <w:color w:val="231F20"/>
          <w:spacing w:val="-3"/>
        </w:rPr>
        <w:t>EMULSIFICATION </w:t>
      </w:r>
      <w:r>
        <w:rPr>
          <w:color w:val="231F20"/>
          <w:spacing w:val="-4"/>
        </w:rPr>
        <w:t>SOLVENT </w:t>
      </w:r>
      <w:r>
        <w:rPr>
          <w:color w:val="231F20"/>
          <w:spacing w:val="-5"/>
        </w:rPr>
        <w:t>EVAPORATION </w:t>
      </w:r>
      <w:r>
        <w:rPr>
          <w:color w:val="231F20"/>
        </w:rPr>
        <w:t>TECHNIQUE</w:t>
      </w:r>
    </w:p>
    <w:p>
      <w:pPr>
        <w:pStyle w:val="BodyText"/>
        <w:rPr>
          <w:rFonts w:ascii="Caladea"/>
          <w:b/>
          <w:sz w:val="28"/>
        </w:rPr>
      </w:pPr>
    </w:p>
    <w:p>
      <w:pPr>
        <w:pStyle w:val="Heading1"/>
        <w:spacing w:before="187"/>
        <w:ind w:right="208"/>
        <w:jc w:val="center"/>
      </w:pPr>
      <w:r>
        <w:rPr>
          <w:color w:val="231F20"/>
        </w:rPr>
        <w:t>WESLEY N OMWOYO, MAKWENA J MOLOTO*</w:t>
      </w:r>
    </w:p>
    <w:p>
      <w:pPr>
        <w:pStyle w:val="Heading2"/>
        <w:spacing w:before="124"/>
        <w:ind w:left="211" w:right="208"/>
        <w:jc w:val="center"/>
      </w:pPr>
      <w:r>
        <w:rPr>
          <w:color w:val="231F20"/>
        </w:rPr>
        <w:t>Department of Chemistry, Vaal University of Technology, Private Bag X021, Vanderbijlpark, South Africa. Email: </w:t>
      </w:r>
      <w:hyperlink r:id="rId6">
        <w:r>
          <w:rPr>
            <w:color w:val="231F20"/>
          </w:rPr>
          <w:t>makwenam@vut.ac.za</w:t>
        </w:r>
      </w:hyperlink>
    </w:p>
    <w:p>
      <w:pPr>
        <w:spacing w:before="117"/>
        <w:ind w:left="210" w:right="208" w:firstLine="0"/>
        <w:jc w:val="center"/>
        <w:rPr>
          <w:rFonts w:ascii="Georgia"/>
          <w:b/>
          <w:i/>
          <w:sz w:val="15"/>
        </w:rPr>
      </w:pPr>
      <w:r>
        <w:rPr/>
        <w:pict>
          <v:shape style="position:absolute;margin-left:45.647999pt;margin-top:16.977449pt;width:504.15pt;height:.1pt;mso-position-horizontal-relative:page;mso-position-vertical-relative:paragraph;z-index:-15728640;mso-wrap-distance-left:0;mso-wrap-distance-right:0" coordorigin="913,340" coordsize="10083,0" path="m913,340l10996,340e" filled="false" stroked="true" strokeweight="2.5pt" strokecolor="#231f20">
            <v:path arrowok="t"/>
            <v:stroke dashstyle="solid"/>
            <w10:wrap type="topAndBottom"/>
          </v:shape>
        </w:pict>
      </w:r>
      <w:r>
        <w:rPr>
          <w:rFonts w:ascii="Georgia"/>
          <w:b/>
          <w:i/>
          <w:color w:val="231F20"/>
          <w:w w:val="95"/>
          <w:sz w:val="15"/>
        </w:rPr>
        <w:t>Received: 18 April 2019; Revised and Accepted: 12 July 2019</w:t>
      </w:r>
    </w:p>
    <w:p>
      <w:pPr>
        <w:pStyle w:val="Heading2"/>
        <w:spacing w:before="29"/>
      </w:pPr>
      <w:r>
        <w:rPr>
          <w:color w:val="231F20"/>
        </w:rPr>
        <w:t>ABSTRACT</w:t>
      </w:r>
    </w:p>
    <w:p>
      <w:pPr>
        <w:pStyle w:val="BodyText"/>
        <w:spacing w:before="3"/>
        <w:rPr>
          <w:rFonts w:ascii="Caladea"/>
          <w:b/>
          <w:sz w:val="17"/>
        </w:rPr>
      </w:pPr>
    </w:p>
    <w:p>
      <w:pPr>
        <w:pStyle w:val="BodyText"/>
        <w:spacing w:line="256" w:lineRule="auto"/>
        <w:ind w:left="112" w:right="108"/>
        <w:jc w:val="both"/>
      </w:pPr>
      <w:r>
        <w:rPr>
          <w:rFonts w:ascii="Caladea"/>
          <w:b/>
          <w:color w:val="231F20"/>
          <w:w w:val="85"/>
        </w:rPr>
        <w:t>Objective:</w:t>
      </w:r>
      <w:r>
        <w:rPr>
          <w:rFonts w:ascii="Caladea"/>
          <w:b/>
          <w:color w:val="231F20"/>
          <w:spacing w:val="3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9"/>
          <w:w w:val="85"/>
        </w:rPr>
        <w:t> </w:t>
      </w:r>
      <w:r>
        <w:rPr>
          <w:color w:val="231F20"/>
          <w:w w:val="85"/>
        </w:rPr>
        <w:t>objective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study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was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to</w:t>
      </w:r>
      <w:r>
        <w:rPr>
          <w:color w:val="231F20"/>
          <w:spacing w:val="-9"/>
          <w:w w:val="85"/>
        </w:rPr>
        <w:t> </w:t>
      </w:r>
      <w:r>
        <w:rPr>
          <w:color w:val="231F20"/>
          <w:w w:val="85"/>
        </w:rPr>
        <w:t>encapsulate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ibuprofen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(IBU)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into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solid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lipid</w:t>
      </w:r>
      <w:r>
        <w:rPr>
          <w:color w:val="231F20"/>
          <w:spacing w:val="-9"/>
          <w:w w:val="85"/>
        </w:rPr>
        <w:t> </w:t>
      </w:r>
      <w:r>
        <w:rPr>
          <w:color w:val="231F20"/>
          <w:w w:val="85"/>
        </w:rPr>
        <w:t>nanoparticles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(SLNs)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for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enhanced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dissolution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9"/>
          <w:w w:val="85"/>
        </w:rPr>
        <w:t> </w:t>
      </w:r>
      <w:r>
        <w:rPr>
          <w:color w:val="231F20"/>
          <w:w w:val="85"/>
        </w:rPr>
        <w:t>achieving </w:t>
      </w:r>
      <w:r>
        <w:rPr>
          <w:color w:val="231F20"/>
          <w:w w:val="95"/>
        </w:rPr>
        <w:t>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sustained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controlled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release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drug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from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nanocarrier.</w:t>
      </w:r>
    </w:p>
    <w:p>
      <w:pPr>
        <w:pStyle w:val="BodyText"/>
        <w:spacing w:line="256" w:lineRule="auto" w:before="158"/>
        <w:ind w:left="112" w:right="111"/>
        <w:jc w:val="both"/>
      </w:pPr>
      <w:r>
        <w:rPr>
          <w:rFonts w:ascii="Caladea" w:hAnsi="Caladea"/>
          <w:b/>
          <w:color w:val="231F20"/>
          <w:w w:val="85"/>
        </w:rPr>
        <w:t>Methods: </w:t>
      </w:r>
      <w:r>
        <w:rPr>
          <w:color w:val="231F20"/>
          <w:w w:val="85"/>
        </w:rPr>
        <w:t>IBU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loaded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nanoparticles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were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prepared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by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emulsification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solvent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evaporation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technique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characterized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by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Fourier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Transform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Infrared spectroscopy, Thermogravimetric Analysis, </w:t>
      </w:r>
      <w:r>
        <w:rPr>
          <w:color w:val="231F20"/>
          <w:spacing w:val="-3"/>
          <w:w w:val="85"/>
        </w:rPr>
        <w:t>X-ray </w:t>
      </w:r>
      <w:r>
        <w:rPr>
          <w:color w:val="231F20"/>
          <w:w w:val="85"/>
        </w:rPr>
        <w:t>diffraction (XRD), and transmission electron microscopy. Release kinetics on the drug-loaded </w:t>
      </w:r>
      <w:r>
        <w:rPr>
          <w:color w:val="231F20"/>
          <w:w w:val="90"/>
        </w:rPr>
        <w:t>nanoparticles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was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carried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out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phosphate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buffer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pH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6.8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using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pharma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test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dissolution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apparatus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adopting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shaking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basket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method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at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37°C.</w:t>
      </w:r>
    </w:p>
    <w:p>
      <w:pPr>
        <w:pStyle w:val="BodyText"/>
        <w:spacing w:line="256" w:lineRule="auto" w:before="158"/>
        <w:ind w:left="112" w:right="107"/>
        <w:jc w:val="both"/>
      </w:pPr>
      <w:r>
        <w:rPr>
          <w:rFonts w:ascii="Caladea" w:hAnsi="Caladea"/>
          <w:b/>
          <w:color w:val="231F20"/>
          <w:w w:val="90"/>
        </w:rPr>
        <w:t>Results:</w:t>
      </w:r>
      <w:r>
        <w:rPr>
          <w:rFonts w:ascii="Caladea" w:hAnsi="Caladea"/>
          <w:b/>
          <w:color w:val="231F20"/>
          <w:spacing w:val="10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optimized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IBU-loaded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SLNs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had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particle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size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76.40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nm,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polydispersity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index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0.275,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zeta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potential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−41.3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6"/>
          <w:w w:val="90"/>
        </w:rPr>
        <w:t>mV.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The </w:t>
      </w:r>
      <w:r>
        <w:rPr>
          <w:color w:val="231F20"/>
          <w:w w:val="85"/>
        </w:rPr>
        <w:t>encapsulation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efficiency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(EE)</w:t>
      </w:r>
      <w:r>
        <w:rPr>
          <w:color w:val="231F20"/>
          <w:spacing w:val="-6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DL</w:t>
      </w:r>
      <w:r>
        <w:rPr>
          <w:color w:val="231F20"/>
          <w:spacing w:val="-6"/>
          <w:w w:val="85"/>
        </w:rPr>
        <w:t> </w:t>
      </w:r>
      <w:r>
        <w:rPr>
          <w:color w:val="231F20"/>
          <w:w w:val="85"/>
        </w:rPr>
        <w:t>were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99.73%</w:t>
      </w:r>
      <w:r>
        <w:rPr>
          <w:color w:val="231F20"/>
          <w:spacing w:val="-6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2.31%,</w:t>
      </w:r>
      <w:r>
        <w:rPr>
          <w:color w:val="231F20"/>
          <w:spacing w:val="-6"/>
          <w:w w:val="85"/>
        </w:rPr>
        <w:t> </w:t>
      </w:r>
      <w:r>
        <w:rPr>
          <w:color w:val="231F20"/>
          <w:spacing w:val="-3"/>
          <w:w w:val="85"/>
        </w:rPr>
        <w:t>respectively.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6"/>
          <w:w w:val="85"/>
        </w:rPr>
        <w:t> </w:t>
      </w:r>
      <w:r>
        <w:rPr>
          <w:color w:val="231F20"/>
          <w:w w:val="85"/>
        </w:rPr>
        <w:t>Fourier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transform</w:t>
      </w:r>
      <w:r>
        <w:rPr>
          <w:color w:val="231F20"/>
          <w:spacing w:val="-6"/>
          <w:w w:val="85"/>
        </w:rPr>
        <w:t> </w:t>
      </w:r>
      <w:r>
        <w:rPr>
          <w:color w:val="231F20"/>
          <w:w w:val="85"/>
        </w:rPr>
        <w:t>infrared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spectroscopy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(FTIR)</w:t>
      </w:r>
      <w:r>
        <w:rPr>
          <w:color w:val="231F20"/>
          <w:spacing w:val="-6"/>
          <w:w w:val="85"/>
        </w:rPr>
        <w:t> </w:t>
      </w:r>
      <w:r>
        <w:rPr>
          <w:color w:val="231F20"/>
          <w:w w:val="85"/>
        </w:rPr>
        <w:t>spectra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confirmed </w:t>
      </w:r>
      <w:r>
        <w:rPr>
          <w:color w:val="231F20"/>
          <w:w w:val="90"/>
        </w:rPr>
        <w:t>successful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encapsulation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drug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inside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nanocarrier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as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only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peaks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responsible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emulsifier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binder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could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identified.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This </w:t>
      </w:r>
      <w:r>
        <w:rPr>
          <w:color w:val="231F20"/>
          <w:w w:val="85"/>
        </w:rPr>
        <w:t>corroborated well with XRD spectra which showed a completely amorphous state of the drug-loaded nanoparticles as compared to the crystalline </w:t>
      </w:r>
      <w:r>
        <w:rPr>
          <w:color w:val="231F20"/>
          <w:w w:val="90"/>
        </w:rPr>
        <w:t>nature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pure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drug.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IBU-SLNs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showed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release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profile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up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8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h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which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great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improvement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from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other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reported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works.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drug </w:t>
      </w:r>
      <w:r>
        <w:rPr>
          <w:color w:val="231F20"/>
          <w:w w:val="85"/>
        </w:rPr>
        <w:t>release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pattern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IBU-SLNs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was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best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fitted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with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Higuchi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square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root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model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followed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Higuchi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drug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release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kinetics.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Korsmeyer-Peppas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model </w:t>
      </w:r>
      <w:r>
        <w:rPr>
          <w:color w:val="231F20"/>
          <w:w w:val="95"/>
        </w:rPr>
        <w:t>confirmed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non-Fickian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diffusion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model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release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drug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from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matrix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system.</w:t>
      </w:r>
    </w:p>
    <w:p>
      <w:pPr>
        <w:pStyle w:val="BodyText"/>
        <w:spacing w:before="10"/>
        <w:rPr>
          <w:sz w:val="13"/>
        </w:rPr>
      </w:pPr>
    </w:p>
    <w:p>
      <w:pPr>
        <w:pStyle w:val="BodyText"/>
        <w:spacing w:line="256" w:lineRule="auto"/>
        <w:ind w:left="112" w:right="110"/>
        <w:jc w:val="both"/>
      </w:pPr>
      <w:r>
        <w:rPr>
          <w:rFonts w:ascii="Caladea"/>
          <w:b/>
          <w:color w:val="231F20"/>
          <w:w w:val="85"/>
        </w:rPr>
        <w:t>Conclusion:</w:t>
      </w:r>
      <w:r>
        <w:rPr>
          <w:rFonts w:ascii="Caladea"/>
          <w:b/>
          <w:color w:val="231F20"/>
          <w:spacing w:val="6"/>
          <w:w w:val="85"/>
        </w:rPr>
        <w:t> </w:t>
      </w:r>
      <w:r>
        <w:rPr>
          <w:color w:val="231F20"/>
          <w:w w:val="85"/>
        </w:rPr>
        <w:t>IBU-loaded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SLNs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were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successfully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prepared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which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had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sustained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controlled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release.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It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was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observed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that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release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drug </w:t>
      </w:r>
      <w:r>
        <w:rPr>
          <w:color w:val="231F20"/>
          <w:w w:val="95"/>
        </w:rPr>
        <w:t>from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matrix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was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diffusion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controlled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time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dependent.</w:t>
      </w:r>
    </w:p>
    <w:p>
      <w:pPr>
        <w:pStyle w:val="BodyText"/>
        <w:spacing w:before="158"/>
        <w:ind w:left="112"/>
        <w:jc w:val="both"/>
      </w:pPr>
      <w:r>
        <w:rPr/>
        <w:pict>
          <v:shape style="position:absolute;margin-left:45.647999pt;margin-top:21.750008pt;width:504.15pt;height:.1pt;mso-position-horizontal-relative:page;mso-position-vertical-relative:paragraph;z-index:-15728128;mso-wrap-distance-left:0;mso-wrap-distance-right:0" coordorigin="913,435" coordsize="10083,0" path="m913,435l10996,435e" filled="false" stroked="true" strokeweight="2.5pt" strokecolor="#231f20">
            <v:path arrowok="t"/>
            <v:stroke dashstyle="solid"/>
            <w10:wrap type="topAndBottom"/>
          </v:shape>
        </w:pict>
      </w:r>
      <w:r>
        <w:rPr>
          <w:rFonts w:ascii="Caladea"/>
          <w:b/>
          <w:color w:val="231F20"/>
          <w:w w:val="95"/>
        </w:rPr>
        <w:t>Keywords: </w:t>
      </w:r>
      <w:r>
        <w:rPr>
          <w:color w:val="231F20"/>
          <w:w w:val="95"/>
        </w:rPr>
        <w:t>Cyclooxygenase, Nociceptors, Inflammation, Ibuprofen, Nanomedicine.</w:t>
      </w:r>
    </w:p>
    <w:p>
      <w:pPr>
        <w:pStyle w:val="BodyText"/>
        <w:spacing w:line="256" w:lineRule="auto"/>
        <w:ind w:left="112" w:right="112"/>
        <w:jc w:val="both"/>
      </w:pPr>
      <w:r>
        <w:rPr>
          <w:color w:val="231F20"/>
          <w:w w:val="85"/>
        </w:rPr>
        <w:t>©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2019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Authors.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Published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by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Innovare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Academic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Sciences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Pvt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Ltd.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This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is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an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open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access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article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under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CC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BY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license</w:t>
      </w:r>
      <w:r>
        <w:rPr>
          <w:color w:val="231F20"/>
          <w:spacing w:val="-24"/>
          <w:w w:val="85"/>
        </w:rPr>
        <w:t> </w:t>
      </w:r>
      <w:hyperlink r:id="rId7">
        <w:r>
          <w:rPr>
            <w:color w:val="231F20"/>
            <w:w w:val="85"/>
          </w:rPr>
          <w:t>(http://creati</w:t>
        </w:r>
      </w:hyperlink>
      <w:r>
        <w:rPr>
          <w:color w:val="231F20"/>
          <w:w w:val="85"/>
        </w:rPr>
        <w:t>v</w:t>
      </w:r>
      <w:hyperlink r:id="rId7">
        <w:r>
          <w:rPr>
            <w:color w:val="231F20"/>
            <w:w w:val="85"/>
          </w:rPr>
          <w:t>ecommons.</w:t>
        </w:r>
      </w:hyperlink>
      <w:r>
        <w:rPr>
          <w:color w:val="231F20"/>
          <w:w w:val="85"/>
        </w:rPr>
        <w:t> </w:t>
      </w:r>
      <w:r>
        <w:rPr>
          <w:color w:val="231F20"/>
          <w:w w:val="95"/>
        </w:rPr>
        <w:t>org/licenses/by/4.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0/)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DOI:</w:t>
      </w:r>
      <w:r>
        <w:rPr>
          <w:color w:val="231F20"/>
          <w:spacing w:val="-17"/>
          <w:w w:val="95"/>
        </w:rPr>
        <w:t> </w:t>
      </w:r>
      <w:hyperlink r:id="rId8">
        <w:r>
          <w:rPr>
            <w:color w:val="231F20"/>
            <w:w w:val="95"/>
          </w:rPr>
          <w:t>http://dx.doi.org/10.22159/ajpcr.2019.v12i7.33652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1910" w:h="16840"/>
          <w:pgMar w:top="140" w:bottom="280" w:left="800" w:right="800"/>
        </w:sectPr>
      </w:pPr>
    </w:p>
    <w:p>
      <w:pPr>
        <w:pStyle w:val="Heading2"/>
        <w:spacing w:before="101"/>
      </w:pPr>
      <w:r>
        <w:rPr>
          <w:color w:val="231F20"/>
        </w:rPr>
        <w:t>INTRODUCTION</w:t>
      </w:r>
    </w:p>
    <w:p>
      <w:pPr>
        <w:pStyle w:val="BodyText"/>
        <w:spacing w:line="204" w:lineRule="exact" w:before="124"/>
        <w:ind w:left="112" w:right="38"/>
        <w:jc w:val="both"/>
      </w:pPr>
      <w:r>
        <w:rPr>
          <w:color w:val="231F20"/>
          <w:w w:val="90"/>
        </w:rPr>
        <w:t>Ibuprofen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(IBU),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phyl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propionic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acid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derivative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widely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used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as </w:t>
      </w:r>
      <w:r>
        <w:rPr>
          <w:color w:val="231F20"/>
          <w:w w:val="95"/>
        </w:rPr>
        <w:t>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first-line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nonsteroidal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anti-inflammatory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drug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(NSAID)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which is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reported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have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short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half-life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poorly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water-soluble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[1]. This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drug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normally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used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reduce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or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clear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pain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though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it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also </w:t>
      </w:r>
      <w:r>
        <w:rPr>
          <w:color w:val="231F20"/>
          <w:w w:val="90"/>
        </w:rPr>
        <w:t>effective in the treatment of rheumatoid arthritis, osteoarthritis, and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inflammations.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When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body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cells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are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damaged,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they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release </w:t>
      </w:r>
      <w:r>
        <w:rPr>
          <w:color w:val="231F20"/>
          <w:w w:val="85"/>
        </w:rPr>
        <w:t>arachidonic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acid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which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is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broken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down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by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cyclooxygenase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(Cox),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Cox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1 and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Cox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2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enzymes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to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form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prostaglandin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H</w:t>
      </w:r>
      <w:r>
        <w:rPr>
          <w:color w:val="231F20"/>
          <w:w w:val="85"/>
          <w:position w:val="-4"/>
          <w:sz w:val="9"/>
        </w:rPr>
        <w:t>2 </w:t>
      </w:r>
      <w:r>
        <w:rPr>
          <w:color w:val="231F20"/>
          <w:w w:val="85"/>
        </w:rPr>
        <w:t>which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is,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in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turn,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converted </w:t>
      </w:r>
      <w:r>
        <w:rPr>
          <w:color w:val="231F20"/>
          <w:w w:val="90"/>
        </w:rPr>
        <w:t>into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multiple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chemicals.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These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chemicals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are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responsible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raising the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body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temperature,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cause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inflammations,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lower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body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pain threshold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[1,2].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lowering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body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pain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threshold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causes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the nociceptors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send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signal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spinal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cord,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which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turn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relays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it </w:t>
      </w:r>
      <w:r>
        <w:rPr>
          <w:color w:val="231F20"/>
          <w:w w:val="95"/>
        </w:rPr>
        <w:t>to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brain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alert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it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pain.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When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IBU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taken,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it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absorbed </w:t>
      </w:r>
      <w:r>
        <w:rPr>
          <w:color w:val="231F20"/>
          <w:w w:val="90"/>
        </w:rPr>
        <w:t>in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bloodstream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through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stomach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walls.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IBU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then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travels and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attaches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itself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two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enzymes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Cox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1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Cox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2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which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creates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a </w:t>
      </w:r>
      <w:r>
        <w:rPr>
          <w:color w:val="231F20"/>
          <w:w w:val="85"/>
        </w:rPr>
        <w:t>barrier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between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enzymes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arachidonic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acid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thus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preventing the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formation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prostaglandin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H</w:t>
      </w:r>
      <w:r>
        <w:rPr>
          <w:color w:val="231F20"/>
          <w:w w:val="85"/>
          <w:position w:val="-4"/>
          <w:sz w:val="9"/>
        </w:rPr>
        <w:t>2</w:t>
      </w:r>
      <w:r>
        <w:rPr>
          <w:color w:val="231F20"/>
          <w:spacing w:val="6"/>
          <w:w w:val="85"/>
          <w:position w:val="-4"/>
          <w:sz w:val="9"/>
        </w:rPr>
        <w:t> </w:t>
      </w:r>
      <w:r>
        <w:rPr>
          <w:color w:val="231F20"/>
          <w:w w:val="85"/>
        </w:rPr>
        <w:t>which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normally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lowers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body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pain threshold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[2].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By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so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doing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information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pain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will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not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be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relayed </w:t>
      </w:r>
      <w:r>
        <w:rPr>
          <w:color w:val="231F20"/>
          <w:w w:val="90"/>
        </w:rPr>
        <w:t>to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brain.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IBU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undergoes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efflux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after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some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short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while,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the </w:t>
      </w:r>
      <w:r>
        <w:rPr>
          <w:color w:val="231F20"/>
          <w:w w:val="95"/>
        </w:rPr>
        <w:t>circle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continues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(Fig.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1).</w:t>
      </w:r>
    </w:p>
    <w:p>
      <w:pPr>
        <w:pStyle w:val="BodyText"/>
        <w:spacing w:before="5"/>
      </w:pPr>
    </w:p>
    <w:p>
      <w:pPr>
        <w:pStyle w:val="BodyText"/>
        <w:spacing w:line="261" w:lineRule="auto"/>
        <w:ind w:left="112" w:right="38"/>
        <w:jc w:val="both"/>
      </w:pPr>
      <w:r>
        <w:rPr>
          <w:color w:val="231F20"/>
          <w:w w:val="95"/>
        </w:rPr>
        <w:t>Although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IBU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has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poor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water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solubility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[3],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it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absorbed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when </w:t>
      </w:r>
      <w:r>
        <w:rPr>
          <w:color w:val="231F20"/>
          <w:w w:val="90"/>
        </w:rPr>
        <w:t>orally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given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3"/>
          <w:w w:val="90"/>
        </w:rPr>
        <w:t>give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maximum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plasma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concentration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around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1–2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h after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ingestion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[4,5].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It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is,</w:t>
      </w:r>
      <w:r>
        <w:rPr>
          <w:color w:val="231F20"/>
          <w:spacing w:val="-22"/>
          <w:w w:val="90"/>
        </w:rPr>
        <w:t> </w:t>
      </w:r>
      <w:r>
        <w:rPr>
          <w:color w:val="231F20"/>
          <w:spacing w:val="-4"/>
          <w:w w:val="90"/>
        </w:rPr>
        <w:t>however,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rapidly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eliminated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from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systemic </w:t>
      </w:r>
      <w:r>
        <w:rPr>
          <w:color w:val="231F20"/>
          <w:w w:val="85"/>
        </w:rPr>
        <w:t>circulation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due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to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its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short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half-life,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thus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requiring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several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dosages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for </w:t>
      </w:r>
      <w:r>
        <w:rPr>
          <w:color w:val="231F20"/>
          <w:w w:val="90"/>
        </w:rPr>
        <w:t>it</w:t>
      </w:r>
      <w:r>
        <w:rPr>
          <w:color w:val="231F20"/>
          <w:spacing w:val="-34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34"/>
          <w:w w:val="90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eﬀective</w:t>
      </w:r>
      <w:r>
        <w:rPr>
          <w:color w:val="231F20"/>
          <w:spacing w:val="-34"/>
          <w:w w:val="90"/>
        </w:rPr>
        <w:t> </w:t>
      </w:r>
      <w:r>
        <w:rPr>
          <w:color w:val="231F20"/>
          <w:w w:val="90"/>
        </w:rPr>
        <w:t>[6].</w:t>
      </w:r>
      <w:r>
        <w:rPr>
          <w:color w:val="231F20"/>
          <w:spacing w:val="-34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drug</w:t>
      </w:r>
      <w:r>
        <w:rPr>
          <w:color w:val="231F20"/>
          <w:spacing w:val="-34"/>
          <w:w w:val="90"/>
        </w:rPr>
        <w:t> </w:t>
      </w:r>
      <w:r>
        <w:rPr>
          <w:color w:val="231F20"/>
          <w:w w:val="90"/>
        </w:rPr>
        <w:t>can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-34"/>
          <w:w w:val="90"/>
        </w:rPr>
        <w:t> </w:t>
      </w:r>
      <w:r>
        <w:rPr>
          <w:color w:val="231F20"/>
          <w:w w:val="90"/>
        </w:rPr>
        <w:t>taken</w:t>
      </w:r>
      <w:r>
        <w:rPr>
          <w:color w:val="231F20"/>
          <w:spacing w:val="-34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chronic</w:t>
      </w:r>
      <w:r>
        <w:rPr>
          <w:color w:val="231F20"/>
          <w:spacing w:val="-34"/>
          <w:w w:val="90"/>
        </w:rPr>
        <w:t> </w:t>
      </w:r>
      <w:r>
        <w:rPr>
          <w:color w:val="231F20"/>
          <w:w w:val="90"/>
        </w:rPr>
        <w:t>diseases</w:t>
      </w:r>
      <w:r>
        <w:rPr>
          <w:color w:val="231F20"/>
          <w:spacing w:val="-34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the </w:t>
      </w:r>
      <w:r>
        <w:rPr>
          <w:color w:val="231F20"/>
          <w:w w:val="85"/>
        </w:rPr>
        <w:t>maintenance of pharmacological activity is more important than how </w:t>
      </w:r>
      <w:r>
        <w:rPr>
          <w:color w:val="231F20"/>
          <w:w w:val="90"/>
        </w:rPr>
        <w:t>fast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drug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acts.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frequent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usage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this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drug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has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led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increased</w:t>
      </w:r>
    </w:p>
    <w:p>
      <w:pPr>
        <w:pStyle w:val="BodyText"/>
        <w:spacing w:line="256" w:lineRule="auto" w:before="104"/>
        <w:ind w:left="112" w:right="108"/>
        <w:jc w:val="both"/>
      </w:pPr>
      <w:r>
        <w:rPr/>
        <w:br w:type="column"/>
      </w:r>
      <w:r>
        <w:rPr>
          <w:color w:val="231F20"/>
          <w:w w:val="85"/>
        </w:rPr>
        <w:t>side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effects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due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to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high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doses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used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non-compliance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patients. IBU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is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still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drug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choice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as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compared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to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other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NSAIDs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[7],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though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it has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demonstrated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drug-related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gastric</w:t>
      </w:r>
      <w:r>
        <w:rPr>
          <w:color w:val="231F20"/>
          <w:spacing w:val="-27"/>
          <w:w w:val="85"/>
        </w:rPr>
        <w:t> </w:t>
      </w:r>
      <w:r>
        <w:rPr>
          <w:color w:val="231F20"/>
          <w:spacing w:val="-3"/>
          <w:w w:val="85"/>
        </w:rPr>
        <w:t>toxicity,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such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as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gastric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irritation, </w:t>
      </w:r>
      <w:r>
        <w:rPr>
          <w:color w:val="231F20"/>
          <w:w w:val="90"/>
        </w:rPr>
        <w:t>bleeding, abdominal pain, and ulcers [8-10]. Nanotechnology has revolutionized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field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drug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delivery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system.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Research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has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proven </w:t>
      </w:r>
      <w:r>
        <w:rPr>
          <w:color w:val="231F20"/>
          <w:w w:val="85"/>
        </w:rPr>
        <w:t>that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nanoparticles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can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be</w:t>
      </w:r>
      <w:r>
        <w:rPr>
          <w:color w:val="231F20"/>
          <w:spacing w:val="-6"/>
          <w:w w:val="85"/>
        </w:rPr>
        <w:t> </w:t>
      </w:r>
      <w:r>
        <w:rPr>
          <w:color w:val="231F20"/>
          <w:w w:val="85"/>
        </w:rPr>
        <w:t>prepared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as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effective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tools</w:t>
      </w:r>
      <w:r>
        <w:rPr>
          <w:color w:val="231F20"/>
          <w:spacing w:val="-6"/>
          <w:w w:val="85"/>
        </w:rPr>
        <w:t> </w:t>
      </w:r>
      <w:r>
        <w:rPr>
          <w:color w:val="231F20"/>
          <w:w w:val="85"/>
        </w:rPr>
        <w:t>for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drug</w:t>
      </w:r>
      <w:r>
        <w:rPr>
          <w:color w:val="231F20"/>
          <w:spacing w:val="-7"/>
          <w:w w:val="85"/>
        </w:rPr>
        <w:t> </w:t>
      </w:r>
      <w:r>
        <w:rPr>
          <w:color w:val="231F20"/>
          <w:spacing w:val="-3"/>
          <w:w w:val="85"/>
        </w:rPr>
        <w:t>delivery. </w:t>
      </w:r>
      <w:r>
        <w:rPr>
          <w:color w:val="231F20"/>
          <w:w w:val="90"/>
        </w:rPr>
        <w:t>The nanoparticles can overcome the limitation of drug delivery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by penetrating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physiological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barrier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deliver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drug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site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of action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or</w:t>
      </w:r>
      <w:r>
        <w:rPr>
          <w:color w:val="231F20"/>
          <w:spacing w:val="-32"/>
          <w:w w:val="90"/>
        </w:rPr>
        <w:t> </w:t>
      </w:r>
      <w:r>
        <w:rPr>
          <w:color w:val="231F20"/>
          <w:w w:val="90"/>
        </w:rPr>
        <w:t>absorption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[2,3].</w:t>
      </w:r>
      <w:r>
        <w:rPr>
          <w:color w:val="231F20"/>
          <w:spacing w:val="-32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32"/>
          <w:w w:val="90"/>
        </w:rPr>
        <w:t> </w:t>
      </w:r>
      <w:r>
        <w:rPr>
          <w:color w:val="231F20"/>
          <w:w w:val="90"/>
        </w:rPr>
        <w:t>nanocarriers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aid</w:t>
      </w:r>
      <w:r>
        <w:rPr>
          <w:color w:val="231F20"/>
          <w:spacing w:val="-32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-32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extension</w:t>
      </w:r>
      <w:r>
        <w:rPr>
          <w:color w:val="231F20"/>
          <w:spacing w:val="-32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32"/>
          <w:w w:val="90"/>
        </w:rPr>
        <w:t> </w:t>
      </w:r>
      <w:r>
        <w:rPr>
          <w:color w:val="231F20"/>
          <w:w w:val="90"/>
        </w:rPr>
        <w:t>the residence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time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small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intestines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ensure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maximum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absorption of</w:t>
      </w:r>
      <w:r>
        <w:rPr>
          <w:color w:val="231F20"/>
          <w:spacing w:val="-32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drug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which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turn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increases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therapeutic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activity</w:t>
      </w:r>
      <w:r>
        <w:rPr>
          <w:color w:val="231F20"/>
          <w:spacing w:val="-32"/>
          <w:w w:val="90"/>
        </w:rPr>
        <w:t> </w:t>
      </w:r>
      <w:r>
        <w:rPr>
          <w:color w:val="231F20"/>
          <w:w w:val="90"/>
        </w:rPr>
        <w:t>[3,4].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With nanotechnology,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drug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can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either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conjugated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on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surface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of the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prepared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nanoparticle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or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encapsulated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protected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inside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the </w:t>
      </w:r>
      <w:r>
        <w:rPr>
          <w:color w:val="231F20"/>
          <w:w w:val="85"/>
        </w:rPr>
        <w:t>drug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carrier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matrix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[2-4].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Nanocarriers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have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previously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been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prepared </w:t>
      </w:r>
      <w:r>
        <w:rPr>
          <w:color w:val="231F20"/>
          <w:w w:val="90"/>
        </w:rPr>
        <w:t>from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wide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range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polymers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or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fatty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acids.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Biodegradable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polymers or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fatty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acids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are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usually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used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encapsulate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drugs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short-term </w:t>
      </w:r>
      <w:r>
        <w:rPr>
          <w:color w:val="231F20"/>
          <w:spacing w:val="-3"/>
          <w:w w:val="90"/>
        </w:rPr>
        <w:t>therapy,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while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non-biodegradable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polymers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are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used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encapsulate </w:t>
      </w:r>
      <w:r>
        <w:rPr>
          <w:color w:val="231F20"/>
          <w:w w:val="85"/>
        </w:rPr>
        <w:t>drugs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for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long-term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therapy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such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as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administration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vaccines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and hormones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[7].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IBU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is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known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to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be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purely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crystalline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drug,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which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is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the main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reason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for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its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poor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water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solubility.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physical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transformation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of a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crystalline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drug</w:t>
      </w:r>
      <w:r>
        <w:rPr>
          <w:color w:val="231F20"/>
          <w:spacing w:val="-9"/>
          <w:w w:val="85"/>
        </w:rPr>
        <w:t> </w:t>
      </w:r>
      <w:r>
        <w:rPr>
          <w:color w:val="231F20"/>
          <w:w w:val="85"/>
        </w:rPr>
        <w:t>into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9"/>
          <w:w w:val="85"/>
        </w:rPr>
        <w:t> </w:t>
      </w:r>
      <w:r>
        <w:rPr>
          <w:color w:val="231F20"/>
          <w:w w:val="85"/>
        </w:rPr>
        <w:t>more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soluble</w:t>
      </w:r>
      <w:r>
        <w:rPr>
          <w:color w:val="231F20"/>
          <w:spacing w:val="-9"/>
          <w:w w:val="85"/>
        </w:rPr>
        <w:t> </w:t>
      </w:r>
      <w:r>
        <w:rPr>
          <w:color w:val="231F20"/>
          <w:w w:val="85"/>
        </w:rPr>
        <w:t>but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meta-stable</w:t>
      </w:r>
      <w:r>
        <w:rPr>
          <w:color w:val="231F20"/>
          <w:spacing w:val="-9"/>
          <w:w w:val="85"/>
        </w:rPr>
        <w:t> </w:t>
      </w:r>
      <w:r>
        <w:rPr>
          <w:color w:val="231F20"/>
          <w:w w:val="85"/>
        </w:rPr>
        <w:t>amorphous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form </w:t>
      </w:r>
      <w:r>
        <w:rPr>
          <w:color w:val="231F20"/>
          <w:w w:val="90"/>
        </w:rPr>
        <w:t>will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essence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improving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delivery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IBU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drug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[11,12]. </w:t>
      </w:r>
      <w:r>
        <w:rPr>
          <w:color w:val="231F20"/>
          <w:w w:val="85"/>
        </w:rPr>
        <w:t>Selection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matrix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is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essential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in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preparation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nanocarriers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since </w:t>
      </w:r>
      <w:r>
        <w:rPr>
          <w:color w:val="231F20"/>
          <w:w w:val="90"/>
        </w:rPr>
        <w:t>it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affects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particle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size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release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kinetics.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Surfactants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or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stabilizers have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been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also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reported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have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greater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influence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formation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of nanocarriers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drug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delivery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[13,14].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They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are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known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decrease </w:t>
      </w:r>
      <w:r>
        <w:rPr>
          <w:color w:val="231F20"/>
          <w:w w:val="85"/>
        </w:rPr>
        <w:t>the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interfacial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tension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between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lipophilic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hydrophilic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phases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the emulsion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ease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formation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drug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carriers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by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enhancing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their </w:t>
      </w:r>
      <w:r>
        <w:rPr>
          <w:color w:val="231F20"/>
          <w:w w:val="90"/>
        </w:rPr>
        <w:t>stability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[15].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Encapsulation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drugs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into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fatty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acids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using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suitable </w:t>
      </w:r>
      <w:r>
        <w:rPr>
          <w:color w:val="231F20"/>
          <w:w w:val="85"/>
        </w:rPr>
        <w:t>surfactant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has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been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reported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to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increase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solubility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oral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absorption</w:t>
      </w:r>
    </w:p>
    <w:p>
      <w:pPr>
        <w:spacing w:after="0" w:line="256" w:lineRule="auto"/>
        <w:jc w:val="both"/>
        <w:sectPr>
          <w:type w:val="continuous"/>
          <w:pgSz w:w="11910" w:h="16840"/>
          <w:pgMar w:top="140" w:bottom="280" w:left="800" w:right="800"/>
          <w:cols w:num="2" w:equalWidth="0">
            <w:col w:w="4977" w:space="284"/>
            <w:col w:w="5049"/>
          </w:cols>
        </w:sectPr>
      </w:pPr>
    </w:p>
    <w:p>
      <w:pPr>
        <w:pStyle w:val="BodyText"/>
        <w:spacing w:before="8"/>
        <w:rPr>
          <w:sz w:val="19"/>
        </w:rPr>
      </w:pPr>
    </w:p>
    <w:p>
      <w:pPr>
        <w:spacing w:after="0"/>
        <w:rPr>
          <w:sz w:val="19"/>
        </w:rPr>
        <w:sectPr>
          <w:headerReference w:type="default" r:id="rId9"/>
          <w:footerReference w:type="default" r:id="rId10"/>
          <w:pgSz w:w="11910" w:h="16840"/>
          <w:pgMar w:header="695" w:footer="952" w:top="1080" w:bottom="1140" w:left="800" w:right="800"/>
          <w:pgNumType w:start="75"/>
        </w:sectPr>
      </w:pPr>
    </w:p>
    <w:p>
      <w:pPr>
        <w:pStyle w:val="BodyText"/>
        <w:spacing w:line="259" w:lineRule="auto" w:before="104"/>
        <w:ind w:left="112" w:right="39"/>
        <w:jc w:val="both"/>
      </w:pPr>
      <w:r>
        <w:rPr>
          <w:color w:val="231F20"/>
          <w:w w:val="85"/>
        </w:rPr>
        <w:t>of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poorly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water-soluble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drugs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[16-18].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This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encapsulation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is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what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leads </w:t>
      </w:r>
      <w:r>
        <w:rPr>
          <w:color w:val="231F20"/>
          <w:w w:val="90"/>
        </w:rPr>
        <w:t>to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formation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solid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lipid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nanoparticles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(SLNs)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which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are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sub- </w:t>
      </w:r>
      <w:r>
        <w:rPr>
          <w:color w:val="231F20"/>
          <w:w w:val="85"/>
        </w:rPr>
        <w:t>micron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colloidal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drug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carriers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composed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lipids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or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waxes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dispersed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in </w:t>
      </w:r>
      <w:r>
        <w:rPr>
          <w:color w:val="231F20"/>
          <w:w w:val="95"/>
        </w:rPr>
        <w:t>an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aqueous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surfactant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solution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[17,19,20].</w:t>
      </w:r>
    </w:p>
    <w:p>
      <w:pPr>
        <w:pStyle w:val="BodyText"/>
        <w:spacing w:before="2"/>
      </w:pPr>
    </w:p>
    <w:p>
      <w:pPr>
        <w:pStyle w:val="BodyText"/>
        <w:spacing w:line="259" w:lineRule="auto"/>
        <w:ind w:left="112" w:right="38"/>
        <w:jc w:val="both"/>
      </w:pPr>
      <w:r>
        <w:rPr>
          <w:color w:val="231F20"/>
          <w:w w:val="85"/>
        </w:rPr>
        <w:t>The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current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study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aims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to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encapsulate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IBU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drug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into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SLNs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using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stearic </w:t>
      </w:r>
      <w:r>
        <w:rPr>
          <w:color w:val="231F20"/>
          <w:w w:val="95"/>
        </w:rPr>
        <w:t>acid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(SA)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carrier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matrix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polyvinylpyrrolidone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(PVP)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 </w:t>
      </w:r>
      <w:r>
        <w:rPr>
          <w:color w:val="231F20"/>
          <w:w w:val="85"/>
        </w:rPr>
        <w:t>surfactant.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effect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organic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to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aqueous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ratio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was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also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determined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in relation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to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particle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size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size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distribution.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optimized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formulation was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then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characterized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to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confirm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particle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properties.</w:t>
      </w:r>
      <w:r>
        <w:rPr>
          <w:color w:val="231F20"/>
          <w:spacing w:val="-7"/>
          <w:w w:val="85"/>
        </w:rPr>
        <w:t> </w:t>
      </w:r>
      <w:r>
        <w:rPr>
          <w:color w:val="231F20"/>
          <w:spacing w:val="-3"/>
          <w:w w:val="85"/>
        </w:rPr>
        <w:t>Further,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kinetic </w:t>
      </w:r>
      <w:r>
        <w:rPr>
          <w:color w:val="231F20"/>
          <w:w w:val="90"/>
        </w:rPr>
        <w:t>studies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were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performed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on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2"/>
          <w:w w:val="90"/>
        </w:rPr>
        <w:t> </w:t>
      </w:r>
      <w:r>
        <w:rPr>
          <w:rFonts w:ascii="Times New Roman"/>
          <w:i/>
          <w:color w:val="231F20"/>
          <w:w w:val="90"/>
        </w:rPr>
        <w:t>in</w:t>
      </w:r>
      <w:r>
        <w:rPr>
          <w:rFonts w:ascii="Times New Roman"/>
          <w:i/>
          <w:color w:val="231F20"/>
          <w:spacing w:val="-13"/>
          <w:w w:val="90"/>
        </w:rPr>
        <w:t> </w:t>
      </w:r>
      <w:r>
        <w:rPr>
          <w:rFonts w:ascii="Times New Roman"/>
          <w:i/>
          <w:color w:val="231F20"/>
          <w:w w:val="90"/>
        </w:rPr>
        <w:t>vitro</w:t>
      </w:r>
      <w:r>
        <w:rPr>
          <w:rFonts w:ascii="Times New Roman"/>
          <w:i/>
          <w:color w:val="231F20"/>
          <w:spacing w:val="-13"/>
          <w:w w:val="90"/>
        </w:rPr>
        <w:t> </w:t>
      </w:r>
      <w:r>
        <w:rPr>
          <w:color w:val="231F20"/>
          <w:w w:val="90"/>
        </w:rPr>
        <w:t>release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data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help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explain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the </w:t>
      </w:r>
      <w:r>
        <w:rPr>
          <w:color w:val="231F20"/>
          <w:w w:val="95"/>
        </w:rPr>
        <w:t>drug release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mathematically.</w:t>
      </w:r>
    </w:p>
    <w:p>
      <w:pPr>
        <w:pStyle w:val="BodyText"/>
        <w:spacing w:before="8"/>
        <w:rPr>
          <w:sz w:val="15"/>
        </w:rPr>
      </w:pPr>
    </w:p>
    <w:p>
      <w:pPr>
        <w:pStyle w:val="Heading2"/>
      </w:pPr>
      <w:r>
        <w:rPr>
          <w:color w:val="231F20"/>
          <w:spacing w:val="-3"/>
        </w:rPr>
        <w:t>MATERIALS </w:t>
      </w:r>
      <w:r>
        <w:rPr>
          <w:color w:val="231F20"/>
        </w:rPr>
        <w:t>AND METHODS</w:t>
      </w:r>
    </w:p>
    <w:p>
      <w:pPr>
        <w:spacing w:before="134"/>
        <w:ind w:left="112" w:right="0" w:firstLine="0"/>
        <w:jc w:val="left"/>
        <w:rPr>
          <w:rFonts w:ascii="Caladea"/>
          <w:b/>
          <w:sz w:val="16"/>
        </w:rPr>
      </w:pPr>
      <w:r>
        <w:rPr>
          <w:rFonts w:ascii="Caladea"/>
          <w:b/>
          <w:color w:val="231F20"/>
          <w:sz w:val="16"/>
        </w:rPr>
        <w:t>Materials</w:t>
      </w:r>
    </w:p>
    <w:p>
      <w:pPr>
        <w:pStyle w:val="BodyText"/>
        <w:spacing w:line="259" w:lineRule="auto" w:before="16"/>
        <w:ind w:left="112" w:right="38"/>
        <w:jc w:val="both"/>
      </w:pP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SA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molecular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weight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284.48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g/mol,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PVP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molecular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weight 13,000–23,000, D-lactose monohydrate (DLM), molecular</w:t>
      </w:r>
      <w:r>
        <w:rPr>
          <w:color w:val="231F20"/>
          <w:spacing w:val="24"/>
          <w:w w:val="90"/>
        </w:rPr>
        <w:t> </w:t>
      </w:r>
      <w:r>
        <w:rPr>
          <w:color w:val="231F20"/>
          <w:w w:val="90"/>
        </w:rPr>
        <w:t>weight</w:t>
      </w:r>
    </w:p>
    <w:p>
      <w:pPr>
        <w:pStyle w:val="BodyText"/>
        <w:spacing w:line="259" w:lineRule="auto"/>
        <w:ind w:left="112" w:right="40"/>
        <w:jc w:val="both"/>
      </w:pPr>
      <w:r>
        <w:rPr>
          <w:color w:val="231F20"/>
          <w:w w:val="90"/>
        </w:rPr>
        <w:t>360.312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g/mol,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ethyl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acetate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(EtoAc)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were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used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current </w:t>
      </w:r>
      <w:r>
        <w:rPr>
          <w:color w:val="231F20"/>
          <w:spacing w:val="-3"/>
          <w:w w:val="90"/>
        </w:rPr>
        <w:t>study. </w:t>
      </w:r>
      <w:r>
        <w:rPr>
          <w:color w:val="231F20"/>
          <w:w w:val="90"/>
        </w:rPr>
        <w:t>All other chemicals used were of analytical grade and were purchased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from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Sigma-Aldrich,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Johannesburg,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South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Africa.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this </w:t>
      </w:r>
      <w:r>
        <w:rPr>
          <w:color w:val="231F20"/>
          <w:w w:val="85"/>
        </w:rPr>
        <w:t>experimental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design,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SA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was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matrix;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PVP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was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used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as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an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emulsifier </w:t>
      </w:r>
      <w:r>
        <w:rPr>
          <w:color w:val="231F20"/>
          <w:w w:val="95"/>
        </w:rPr>
        <w:t>and/or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surfactant,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lactose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was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used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as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binder.</w:t>
      </w:r>
    </w:p>
    <w:p>
      <w:pPr>
        <w:pStyle w:val="BodyText"/>
        <w:spacing w:before="10"/>
        <w:rPr>
          <w:sz w:val="15"/>
        </w:rPr>
      </w:pPr>
    </w:p>
    <w:p>
      <w:pPr>
        <w:pStyle w:val="Heading2"/>
      </w:pPr>
      <w:r>
        <w:rPr>
          <w:color w:val="231F20"/>
        </w:rPr>
        <w:t>Preparation of IBU loaded SLNs</w:t>
      </w:r>
    </w:p>
    <w:p>
      <w:pPr>
        <w:pStyle w:val="BodyText"/>
        <w:spacing w:line="259" w:lineRule="auto" w:before="17"/>
        <w:ind w:left="112" w:right="38"/>
        <w:jc w:val="both"/>
      </w:pPr>
      <w:r>
        <w:rPr>
          <w:color w:val="231F20"/>
          <w:w w:val="85"/>
        </w:rPr>
        <w:t>The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nanoparticle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drug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carriers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were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prepared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by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method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described </w:t>
      </w:r>
      <w:r>
        <w:rPr>
          <w:color w:val="231F20"/>
          <w:w w:val="90"/>
        </w:rPr>
        <w:t>by</w:t>
      </w:r>
      <w:r>
        <w:rPr>
          <w:color w:val="231F20"/>
          <w:spacing w:val="-31"/>
          <w:w w:val="90"/>
        </w:rPr>
        <w:t> </w:t>
      </w:r>
      <w:r>
        <w:rPr>
          <w:color w:val="231F20"/>
          <w:spacing w:val="-3"/>
          <w:w w:val="90"/>
        </w:rPr>
        <w:t>Omwoyo</w:t>
      </w:r>
      <w:r>
        <w:rPr>
          <w:color w:val="231F20"/>
          <w:spacing w:val="-31"/>
          <w:w w:val="90"/>
        </w:rPr>
        <w:t> </w:t>
      </w:r>
      <w:r>
        <w:rPr>
          <w:rFonts w:ascii="Times New Roman"/>
          <w:i/>
          <w:color w:val="231F20"/>
          <w:w w:val="90"/>
        </w:rPr>
        <w:t>et</w:t>
      </w:r>
      <w:r>
        <w:rPr>
          <w:rFonts w:ascii="Times New Roman"/>
          <w:i/>
          <w:color w:val="231F20"/>
          <w:spacing w:val="-21"/>
          <w:w w:val="90"/>
        </w:rPr>
        <w:t> </w:t>
      </w:r>
      <w:r>
        <w:rPr>
          <w:rFonts w:ascii="Times New Roman"/>
          <w:i/>
          <w:color w:val="231F20"/>
          <w:w w:val="90"/>
        </w:rPr>
        <w:t>al</w:t>
      </w:r>
      <w:r>
        <w:rPr>
          <w:color w:val="231F20"/>
          <w:w w:val="90"/>
        </w:rPr>
        <w:t>.,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[17,19]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with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slight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modifications.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Nanoparticle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drug </w:t>
      </w:r>
      <w:r>
        <w:rPr>
          <w:color w:val="231F20"/>
          <w:w w:val="85"/>
        </w:rPr>
        <w:t>carriers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for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IBU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were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prepared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using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modified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emulsification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solvent evaporation</w:t>
      </w:r>
      <w:r>
        <w:rPr>
          <w:color w:val="231F20"/>
          <w:spacing w:val="-6"/>
          <w:w w:val="85"/>
        </w:rPr>
        <w:t> </w:t>
      </w:r>
      <w:r>
        <w:rPr>
          <w:color w:val="231F20"/>
          <w:w w:val="85"/>
        </w:rPr>
        <w:t>technique.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organic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phase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was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prepared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by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dissolving SA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IBU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in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EtoAc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under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stirring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with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magnetic</w:t>
      </w:r>
      <w:r>
        <w:rPr>
          <w:color w:val="231F20"/>
          <w:spacing w:val="-18"/>
          <w:w w:val="85"/>
        </w:rPr>
        <w:t> </w:t>
      </w:r>
      <w:r>
        <w:rPr>
          <w:color w:val="231F20"/>
          <w:spacing w:val="-3"/>
          <w:w w:val="85"/>
        </w:rPr>
        <w:t>stirrer.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aqueous </w:t>
      </w:r>
      <w:r>
        <w:rPr>
          <w:color w:val="231F20"/>
          <w:w w:val="90"/>
        </w:rPr>
        <w:t>surfactant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solution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constituted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5%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(w/v)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PVP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5%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(w/v)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DLM. The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organic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phase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was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dispersed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aqueous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phase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by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means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a</w:t>
      </w:r>
    </w:p>
    <w:p>
      <w:pPr>
        <w:pStyle w:val="BodyText"/>
        <w:spacing w:line="268" w:lineRule="auto" w:before="104"/>
        <w:ind w:left="112" w:right="108"/>
        <w:jc w:val="both"/>
      </w:pPr>
      <w:r>
        <w:rPr/>
        <w:br w:type="column"/>
      </w:r>
      <w:r>
        <w:rPr>
          <w:color w:val="231F20"/>
          <w:w w:val="85"/>
        </w:rPr>
        <w:t>high-speed homogenizer (Silverson L4R, Silverson Machines Limited, </w:t>
      </w:r>
      <w:r>
        <w:rPr>
          <w:color w:val="231F20"/>
          <w:w w:val="90"/>
        </w:rPr>
        <w:t>Buckinghamshire, United Kingdom) with a speed of 6000 rpm for 5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min.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resulting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oil-in-water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single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emulsion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(O/W)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obtained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was directly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fed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into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bench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top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Buchi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Mini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Spray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Dryer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(Model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B-290, </w:t>
      </w:r>
      <w:r>
        <w:rPr>
          <w:color w:val="231F20"/>
          <w:w w:val="85"/>
        </w:rPr>
        <w:t>BÜCHI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Labortechnik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AG,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Flawil,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Switzerland)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spray-dried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at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110°C, </w:t>
      </w:r>
      <w:r>
        <w:rPr>
          <w:color w:val="231F20"/>
          <w:w w:val="90"/>
        </w:rPr>
        <w:t>with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atomizing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pressure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5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bars,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100%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aspirator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rate,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20% flow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rate.</w:t>
      </w:r>
      <w:r>
        <w:rPr>
          <w:color w:val="231F20"/>
          <w:spacing w:val="-32"/>
          <w:w w:val="90"/>
        </w:rPr>
        <w:t> </w:t>
      </w:r>
      <w:r>
        <w:rPr>
          <w:color w:val="231F20"/>
          <w:w w:val="90"/>
        </w:rPr>
        <w:t>This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was</w:t>
      </w:r>
      <w:r>
        <w:rPr>
          <w:color w:val="231F20"/>
          <w:spacing w:val="-32"/>
          <w:w w:val="90"/>
        </w:rPr>
        <w:t> </w:t>
      </w:r>
      <w:r>
        <w:rPr>
          <w:color w:val="231F20"/>
          <w:w w:val="90"/>
        </w:rPr>
        <w:t>done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32"/>
          <w:w w:val="90"/>
        </w:rPr>
        <w:t> </w:t>
      </w:r>
      <w:r>
        <w:rPr>
          <w:color w:val="231F20"/>
          <w:w w:val="90"/>
        </w:rPr>
        <w:t>four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different</w:t>
      </w:r>
      <w:r>
        <w:rPr>
          <w:color w:val="231F20"/>
          <w:spacing w:val="-32"/>
          <w:w w:val="90"/>
        </w:rPr>
        <w:t> </w:t>
      </w:r>
      <w:r>
        <w:rPr>
          <w:color w:val="231F20"/>
          <w:w w:val="90"/>
        </w:rPr>
        <w:t>formulations,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as</w:t>
      </w:r>
      <w:r>
        <w:rPr>
          <w:color w:val="231F20"/>
          <w:spacing w:val="-32"/>
          <w:w w:val="90"/>
        </w:rPr>
        <w:t> </w:t>
      </w:r>
      <w:r>
        <w:rPr>
          <w:color w:val="231F20"/>
          <w:w w:val="90"/>
        </w:rPr>
        <w:t>shown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-32"/>
          <w:w w:val="90"/>
        </w:rPr>
        <w:t> </w:t>
      </w:r>
      <w:r>
        <w:rPr>
          <w:color w:val="231F20"/>
          <w:w w:val="90"/>
        </w:rPr>
        <w:t>the experimental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design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3"/>
          <w:w w:val="90"/>
        </w:rPr>
        <w:t>(Table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1).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optimized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formulation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was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then </w:t>
      </w:r>
      <w:r>
        <w:rPr>
          <w:color w:val="231F20"/>
          <w:w w:val="95"/>
        </w:rPr>
        <w:t>fully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characterized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release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kinetics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studied.</w:t>
      </w:r>
    </w:p>
    <w:p>
      <w:pPr>
        <w:pStyle w:val="BodyText"/>
        <w:spacing w:before="4"/>
        <w:rPr>
          <w:sz w:val="15"/>
        </w:rPr>
      </w:pPr>
    </w:p>
    <w:p>
      <w:pPr>
        <w:pStyle w:val="Heading2"/>
        <w:spacing w:before="1"/>
        <w:jc w:val="both"/>
      </w:pPr>
      <w:r>
        <w:rPr>
          <w:color w:val="231F20"/>
        </w:rPr>
        <w:t>Characterization of the drug-loaded nanoparticles</w:t>
      </w:r>
    </w:p>
    <w:p>
      <w:pPr>
        <w:spacing w:before="22"/>
        <w:ind w:left="112" w:right="0" w:firstLine="0"/>
        <w:jc w:val="both"/>
        <w:rPr>
          <w:rFonts w:ascii="Times New Roman"/>
          <w:i/>
          <w:sz w:val="16"/>
        </w:rPr>
      </w:pPr>
      <w:r>
        <w:rPr>
          <w:rFonts w:ascii="Times New Roman"/>
          <w:i/>
          <w:color w:val="231F20"/>
          <w:w w:val="105"/>
          <w:sz w:val="16"/>
        </w:rPr>
        <w:t>Particle size analysis and polydispersity index (PDI)</w:t>
      </w:r>
    </w:p>
    <w:p>
      <w:pPr>
        <w:pStyle w:val="BodyText"/>
        <w:spacing w:line="268" w:lineRule="auto" w:before="65"/>
        <w:ind w:left="112" w:right="109"/>
        <w:jc w:val="both"/>
      </w:pPr>
      <w:r>
        <w:rPr>
          <w:color w:val="231F20"/>
          <w:w w:val="90"/>
        </w:rPr>
        <w:t>Particle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size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analysis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produced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nanocarriers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was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determined by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dynamic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light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scattering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photon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correlation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spectroscopy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(PCS) </w:t>
      </w:r>
      <w:r>
        <w:rPr>
          <w:color w:val="231F20"/>
          <w:w w:val="85"/>
        </w:rPr>
        <w:t>using a Malvern Zetasizer Nano ZS (Malvern Instruments, Worcester </w:t>
      </w:r>
      <w:r>
        <w:rPr>
          <w:color w:val="231F20"/>
          <w:w w:val="90"/>
        </w:rPr>
        <w:t>shire,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United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Kingdom).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PCS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yielded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mean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diameter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the PDI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which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measure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width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size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distribution.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mean diameter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PDI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values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were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obtained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at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an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angle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90°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10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mm diameter cells at 25°C. Before the measurements of each sample, </w:t>
      </w:r>
      <w:r>
        <w:rPr>
          <w:color w:val="231F20"/>
          <w:w w:val="85"/>
        </w:rPr>
        <w:t>approximately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1–3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mg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nanoparticles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were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suspended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in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distilled </w:t>
      </w:r>
      <w:r>
        <w:rPr>
          <w:color w:val="231F20"/>
          <w:spacing w:val="-4"/>
          <w:w w:val="90"/>
        </w:rPr>
        <w:t>water,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then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vortexed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sonicated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few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minutes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produce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a </w:t>
      </w:r>
      <w:r>
        <w:rPr>
          <w:color w:val="231F20"/>
          <w:w w:val="95"/>
        </w:rPr>
        <w:t>suitable scattering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intensity.</w:t>
      </w:r>
    </w:p>
    <w:p>
      <w:pPr>
        <w:pStyle w:val="BodyText"/>
        <w:rPr>
          <w:sz w:val="19"/>
        </w:rPr>
      </w:pPr>
    </w:p>
    <w:p>
      <w:pPr>
        <w:spacing w:before="0"/>
        <w:ind w:left="112" w:right="0" w:firstLine="0"/>
        <w:jc w:val="both"/>
        <w:rPr>
          <w:rFonts w:ascii="Times New Roman"/>
          <w:i/>
          <w:sz w:val="16"/>
        </w:rPr>
      </w:pPr>
      <w:r>
        <w:rPr>
          <w:rFonts w:ascii="Times New Roman"/>
          <w:i/>
          <w:color w:val="231F20"/>
          <w:w w:val="105"/>
          <w:sz w:val="16"/>
        </w:rPr>
        <w:t>Zeta potential</w:t>
      </w:r>
    </w:p>
    <w:p>
      <w:pPr>
        <w:pStyle w:val="BodyText"/>
        <w:spacing w:line="268" w:lineRule="auto" w:before="65"/>
        <w:ind w:left="112" w:right="108"/>
        <w:jc w:val="both"/>
      </w:pPr>
      <w:r>
        <w:rPr>
          <w:color w:val="231F20"/>
          <w:w w:val="95"/>
        </w:rPr>
        <w:t>The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zeta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potential,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reflecting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electric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charge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on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particle </w:t>
      </w:r>
      <w:r>
        <w:rPr>
          <w:color w:val="231F20"/>
          <w:w w:val="90"/>
        </w:rPr>
        <w:t>surface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indicating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physical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stability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colloidal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systems,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was determined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by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electrophoretic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mobility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using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Malvern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Zetasizer </w:t>
      </w:r>
      <w:r>
        <w:rPr>
          <w:color w:val="231F20"/>
          <w:w w:val="85"/>
        </w:rPr>
        <w:t>Nano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ZS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(Malvern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Instruments,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Worcester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shire,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United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Kingdom).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The </w:t>
      </w:r>
      <w:r>
        <w:rPr>
          <w:color w:val="231F20"/>
          <w:w w:val="90"/>
        </w:rPr>
        <w:t>sample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was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prepared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as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particle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size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measurement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but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different </w:t>
      </w:r>
      <w:r>
        <w:rPr>
          <w:color w:val="231F20"/>
          <w:w w:val="95"/>
        </w:rPr>
        <w:t>curvet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that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could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conduct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current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during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measurement.</w:t>
      </w:r>
    </w:p>
    <w:p>
      <w:pPr>
        <w:spacing w:after="0" w:line="268" w:lineRule="auto"/>
        <w:jc w:val="both"/>
        <w:sectPr>
          <w:type w:val="continuous"/>
          <w:pgSz w:w="11910" w:h="16840"/>
          <w:pgMar w:top="140" w:bottom="280" w:left="800" w:right="800"/>
          <w:cols w:num="2" w:equalWidth="0">
            <w:col w:w="4977" w:space="285"/>
            <w:col w:w="5048"/>
          </w:cols>
        </w:sect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ind w:left="1525"/>
        <w:rPr>
          <w:sz w:val="20"/>
        </w:rPr>
      </w:pPr>
      <w:r>
        <w:rPr>
          <w:sz w:val="20"/>
        </w:rPr>
        <w:pict>
          <v:group style="width:362.9pt;height:236.2pt;mso-position-horizontal-relative:char;mso-position-vertical-relative:line" coordorigin="0,0" coordsize="7258,4724">
            <v:shape style="position:absolute;left:76;top:76;width:7028;height:4570" type="#_x0000_t75" stroked="false">
              <v:imagedata r:id="rId11" o:title=""/>
            </v:shape>
            <v:rect style="position:absolute;left:2;top:2;width:7253;height:4719" filled="false" stroked="true" strokeweight=".25pt" strokecolor="#231f20">
              <v:stroke dashstyle="solid"/>
            </v:rect>
          </v:group>
        </w:pict>
      </w:r>
      <w:r>
        <w:rPr>
          <w:sz w:val="20"/>
        </w:rPr>
      </w:r>
    </w:p>
    <w:p>
      <w:pPr>
        <w:pStyle w:val="Heading2"/>
        <w:spacing w:before="61"/>
        <w:ind w:left="207" w:right="208"/>
        <w:jc w:val="center"/>
      </w:pPr>
      <w:r>
        <w:rPr>
          <w:color w:val="231F20"/>
        </w:rPr>
        <w:t>Fig. 1: Schematic demonstration on how ibuprofen relieves pain</w:t>
      </w:r>
    </w:p>
    <w:p>
      <w:pPr>
        <w:pStyle w:val="BodyText"/>
        <w:spacing w:before="4"/>
        <w:rPr>
          <w:rFonts w:ascii="Caladea"/>
          <w:b/>
          <w:sz w:val="25"/>
        </w:rPr>
      </w:pPr>
    </w:p>
    <w:tbl>
      <w:tblPr>
        <w:tblW w:w="0" w:type="auto"/>
        <w:jc w:val="left"/>
        <w:tblInd w:w="1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9"/>
        <w:gridCol w:w="1348"/>
        <w:gridCol w:w="1157"/>
        <w:gridCol w:w="1677"/>
        <w:gridCol w:w="489"/>
        <w:gridCol w:w="1469"/>
        <w:gridCol w:w="922"/>
        <w:gridCol w:w="1493"/>
      </w:tblGrid>
      <w:tr>
        <w:trPr>
          <w:trHeight w:val="302" w:hRule="atLeast"/>
        </w:trPr>
        <w:tc>
          <w:tcPr>
            <w:tcW w:w="10084" w:type="dxa"/>
            <w:gridSpan w:val="8"/>
            <w:tcBorders>
              <w:bottom w:val="single" w:sz="8" w:space="0" w:color="231F20"/>
            </w:tcBorders>
          </w:tcPr>
          <w:p>
            <w:pPr>
              <w:pStyle w:val="TableParagraph"/>
              <w:spacing w:before="0"/>
              <w:ind w:left="2518" w:right="2517"/>
              <w:jc w:val="center"/>
              <w:rPr>
                <w:rFonts w:ascii="Caladea"/>
                <w:b/>
                <w:sz w:val="16"/>
              </w:rPr>
            </w:pPr>
            <w:r>
              <w:rPr>
                <w:rFonts w:ascii="Caladea"/>
                <w:b/>
                <w:color w:val="231F20"/>
                <w:sz w:val="16"/>
              </w:rPr>
              <w:t>Table 1: Experimental design of preparing IBU-loaded nanoparticles</w:t>
            </w:r>
          </w:p>
        </w:tc>
      </w:tr>
      <w:tr>
        <w:trPr>
          <w:trHeight w:val="291" w:hRule="atLeast"/>
        </w:trPr>
        <w:tc>
          <w:tcPr>
            <w:tcW w:w="1529" w:type="dxa"/>
            <w:tcBorders>
              <w:top w:val="single" w:sz="8" w:space="0" w:color="231F20"/>
            </w:tcBorders>
          </w:tcPr>
          <w:p>
            <w:pPr>
              <w:pStyle w:val="TableParagraph"/>
              <w:spacing w:before="62"/>
              <w:rPr>
                <w:rFonts w:ascii="Caladea"/>
                <w:b/>
                <w:sz w:val="16"/>
              </w:rPr>
            </w:pPr>
            <w:r>
              <w:rPr>
                <w:rFonts w:ascii="Caladea"/>
                <w:b/>
                <w:color w:val="231F20"/>
                <w:sz w:val="16"/>
              </w:rPr>
              <w:t>Formulation</w:t>
            </w:r>
          </w:p>
        </w:tc>
        <w:tc>
          <w:tcPr>
            <w:tcW w:w="1348" w:type="dxa"/>
            <w:tcBorders>
              <w:top w:val="single" w:sz="8" w:space="0" w:color="231F20"/>
              <w:bottom w:val="single" w:sz="2" w:space="0" w:color="231F20"/>
            </w:tcBorders>
          </w:tcPr>
          <w:p>
            <w:pPr>
              <w:pStyle w:val="TableParagraph"/>
              <w:spacing w:before="62"/>
              <w:ind w:left="59" w:right="-15"/>
              <w:rPr>
                <w:rFonts w:ascii="Caladea"/>
                <w:b/>
                <w:sz w:val="16"/>
              </w:rPr>
            </w:pPr>
            <w:r>
              <w:rPr>
                <w:rFonts w:ascii="Caladea"/>
                <w:b/>
                <w:color w:val="231F20"/>
                <w:sz w:val="16"/>
              </w:rPr>
              <w:t>Internal phase</w:t>
            </w:r>
            <w:r>
              <w:rPr>
                <w:rFonts w:ascii="Caladea"/>
                <w:b/>
                <w:color w:val="231F20"/>
                <w:spacing w:val="-9"/>
                <w:sz w:val="16"/>
              </w:rPr>
              <w:t> </w:t>
            </w:r>
            <w:r>
              <w:rPr>
                <w:rFonts w:ascii="Caladea"/>
                <w:b/>
                <w:color w:val="231F20"/>
                <w:sz w:val="16"/>
              </w:rPr>
              <w:t>(I)</w:t>
            </w:r>
          </w:p>
        </w:tc>
        <w:tc>
          <w:tcPr>
            <w:tcW w:w="1157" w:type="dxa"/>
            <w:tcBorders>
              <w:top w:val="single" w:sz="8" w:space="0" w:color="231F20"/>
              <w:bottom w:val="single" w:sz="2" w:space="0" w:color="231F2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677" w:type="dxa"/>
            <w:tcBorders>
              <w:top w:val="single" w:sz="8" w:space="0" w:color="231F20"/>
              <w:bottom w:val="single" w:sz="2" w:space="0" w:color="231F2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89" w:type="dxa"/>
            <w:tcBorders>
              <w:top w:val="single" w:sz="8" w:space="0" w:color="231F2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469" w:type="dxa"/>
            <w:tcBorders>
              <w:top w:val="single" w:sz="8" w:space="0" w:color="231F20"/>
              <w:bottom w:val="single" w:sz="2" w:space="0" w:color="231F20"/>
            </w:tcBorders>
          </w:tcPr>
          <w:p>
            <w:pPr>
              <w:pStyle w:val="TableParagraph"/>
              <w:spacing w:before="62"/>
              <w:ind w:left="59"/>
              <w:rPr>
                <w:rFonts w:ascii="Caladea"/>
                <w:b/>
                <w:sz w:val="16"/>
              </w:rPr>
            </w:pPr>
            <w:r>
              <w:rPr>
                <w:rFonts w:ascii="Caladea"/>
                <w:b/>
                <w:color w:val="231F20"/>
                <w:sz w:val="16"/>
              </w:rPr>
              <w:t>External phase (E)</w:t>
            </w:r>
          </w:p>
        </w:tc>
        <w:tc>
          <w:tcPr>
            <w:tcW w:w="922" w:type="dxa"/>
            <w:tcBorders>
              <w:top w:val="single" w:sz="8" w:space="0" w:color="231F20"/>
              <w:bottom w:val="single" w:sz="2" w:space="0" w:color="231F2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  <w:tcBorders>
              <w:top w:val="single" w:sz="8" w:space="0" w:color="231F20"/>
            </w:tcBorders>
          </w:tcPr>
          <w:p>
            <w:pPr>
              <w:pStyle w:val="TableParagraph"/>
              <w:spacing w:before="62"/>
              <w:ind w:left="547"/>
              <w:rPr>
                <w:rFonts w:ascii="Caladea"/>
                <w:b/>
                <w:sz w:val="16"/>
              </w:rPr>
            </w:pPr>
            <w:r>
              <w:rPr>
                <w:rFonts w:ascii="Caladea"/>
                <w:b/>
                <w:color w:val="231F20"/>
                <w:sz w:val="16"/>
              </w:rPr>
              <w:t>Ratio (I: E)</w:t>
            </w:r>
          </w:p>
        </w:tc>
      </w:tr>
      <w:tr>
        <w:trPr>
          <w:trHeight w:val="296" w:hRule="atLeast"/>
        </w:trPr>
        <w:tc>
          <w:tcPr>
            <w:tcW w:w="1529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348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70"/>
              <w:ind w:left="59"/>
              <w:rPr>
                <w:rFonts w:ascii="Caladea"/>
                <w:b/>
                <w:sz w:val="16"/>
              </w:rPr>
            </w:pPr>
            <w:r>
              <w:rPr>
                <w:rFonts w:ascii="Caladea"/>
                <w:b/>
                <w:color w:val="231F20"/>
                <w:sz w:val="16"/>
              </w:rPr>
              <w:t>SA (mg)</w:t>
            </w:r>
          </w:p>
        </w:tc>
        <w:tc>
          <w:tcPr>
            <w:tcW w:w="1157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70"/>
              <w:ind w:left="-5"/>
              <w:rPr>
                <w:rFonts w:ascii="Caladea"/>
                <w:b/>
                <w:sz w:val="16"/>
              </w:rPr>
            </w:pPr>
            <w:r>
              <w:rPr>
                <w:rFonts w:ascii="Caladea"/>
                <w:b/>
                <w:color w:val="231F20"/>
                <w:sz w:val="16"/>
              </w:rPr>
              <w:t>EtoAc (mL)</w:t>
            </w:r>
          </w:p>
        </w:tc>
        <w:tc>
          <w:tcPr>
            <w:tcW w:w="1677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70"/>
              <w:ind w:left="347"/>
              <w:rPr>
                <w:rFonts w:ascii="Caladea"/>
                <w:b/>
                <w:sz w:val="16"/>
              </w:rPr>
            </w:pPr>
            <w:r>
              <w:rPr>
                <w:rFonts w:ascii="Caladea"/>
                <w:b/>
                <w:color w:val="231F20"/>
                <w:sz w:val="16"/>
              </w:rPr>
              <w:t>IBU (mg)</w:t>
            </w:r>
          </w:p>
        </w:tc>
        <w:tc>
          <w:tcPr>
            <w:tcW w:w="489" w:type="dxa"/>
            <w:tcBorders>
              <w:bottom w:val="single" w:sz="2" w:space="0" w:color="231F2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469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70"/>
              <w:ind w:left="59"/>
              <w:rPr>
                <w:rFonts w:ascii="Caladea"/>
                <w:b/>
                <w:sz w:val="16"/>
              </w:rPr>
            </w:pPr>
            <w:r>
              <w:rPr>
                <w:rFonts w:ascii="Caladea"/>
                <w:b/>
                <w:color w:val="231F20"/>
                <w:sz w:val="16"/>
              </w:rPr>
              <w:t>PVP (mL)</w:t>
            </w:r>
          </w:p>
        </w:tc>
        <w:tc>
          <w:tcPr>
            <w:tcW w:w="922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70"/>
              <w:ind w:left="56"/>
              <w:rPr>
                <w:rFonts w:ascii="Caladea"/>
                <w:b/>
                <w:sz w:val="16"/>
              </w:rPr>
            </w:pPr>
            <w:r>
              <w:rPr>
                <w:rFonts w:ascii="Caladea"/>
                <w:b/>
                <w:color w:val="231F20"/>
                <w:sz w:val="16"/>
              </w:rPr>
              <w:t>DLM (mL)</w:t>
            </w:r>
          </w:p>
        </w:tc>
        <w:tc>
          <w:tcPr>
            <w:tcW w:w="1493" w:type="dxa"/>
            <w:tcBorders>
              <w:bottom w:val="single" w:sz="2" w:space="0" w:color="231F2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</w:tr>
      <w:tr>
        <w:trPr>
          <w:trHeight w:val="213" w:hRule="atLeast"/>
        </w:trPr>
        <w:tc>
          <w:tcPr>
            <w:tcW w:w="1529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163" w:lineRule="exact" w:before="31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F1</w:t>
            </w:r>
          </w:p>
        </w:tc>
        <w:tc>
          <w:tcPr>
            <w:tcW w:w="1348" w:type="dxa"/>
            <w:tcBorders>
              <w:top w:val="single" w:sz="2" w:space="0" w:color="231F20"/>
            </w:tcBorders>
          </w:tcPr>
          <w:p>
            <w:pPr>
              <w:pStyle w:val="TableParagraph"/>
              <w:spacing w:line="163" w:lineRule="exact" w:before="31"/>
              <w:ind w:left="59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50</w:t>
            </w:r>
          </w:p>
        </w:tc>
        <w:tc>
          <w:tcPr>
            <w:tcW w:w="1157" w:type="dxa"/>
            <w:tcBorders>
              <w:top w:val="single" w:sz="2" w:space="0" w:color="231F20"/>
            </w:tcBorders>
          </w:tcPr>
          <w:p>
            <w:pPr>
              <w:pStyle w:val="TableParagraph"/>
              <w:spacing w:line="163" w:lineRule="exact" w:before="31"/>
              <w:ind w:left="-5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10</w:t>
            </w:r>
          </w:p>
        </w:tc>
        <w:tc>
          <w:tcPr>
            <w:tcW w:w="1677" w:type="dxa"/>
            <w:tcBorders>
              <w:top w:val="single" w:sz="2" w:space="0" w:color="231F20"/>
            </w:tcBorders>
          </w:tcPr>
          <w:p>
            <w:pPr>
              <w:pStyle w:val="TableParagraph"/>
              <w:spacing w:line="163" w:lineRule="exact" w:before="31"/>
              <w:ind w:left="34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50</w:t>
            </w:r>
          </w:p>
        </w:tc>
        <w:tc>
          <w:tcPr>
            <w:tcW w:w="489" w:type="dxa"/>
            <w:tcBorders>
              <w:top w:val="single" w:sz="2" w:space="0" w:color="231F2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469" w:type="dxa"/>
            <w:tcBorders>
              <w:top w:val="single" w:sz="2" w:space="0" w:color="231F20"/>
            </w:tcBorders>
          </w:tcPr>
          <w:p>
            <w:pPr>
              <w:pStyle w:val="TableParagraph"/>
              <w:spacing w:line="163" w:lineRule="exact" w:before="31"/>
              <w:ind w:left="59"/>
              <w:rPr>
                <w:sz w:val="16"/>
              </w:rPr>
            </w:pPr>
            <w:r>
              <w:rPr>
                <w:color w:val="231F20"/>
                <w:w w:val="87"/>
                <w:sz w:val="16"/>
              </w:rPr>
              <w:t>7</w:t>
            </w:r>
          </w:p>
        </w:tc>
        <w:tc>
          <w:tcPr>
            <w:tcW w:w="922" w:type="dxa"/>
            <w:tcBorders>
              <w:top w:val="single" w:sz="2" w:space="0" w:color="231F20"/>
            </w:tcBorders>
          </w:tcPr>
          <w:p>
            <w:pPr>
              <w:pStyle w:val="TableParagraph"/>
              <w:spacing w:line="163" w:lineRule="exact" w:before="31"/>
              <w:ind w:left="56"/>
              <w:rPr>
                <w:sz w:val="16"/>
              </w:rPr>
            </w:pPr>
            <w:r>
              <w:rPr>
                <w:color w:val="231F20"/>
                <w:w w:val="87"/>
                <w:sz w:val="16"/>
              </w:rPr>
              <w:t>3</w:t>
            </w:r>
          </w:p>
        </w:tc>
        <w:tc>
          <w:tcPr>
            <w:tcW w:w="1493" w:type="dxa"/>
            <w:tcBorders>
              <w:top w:val="single" w:sz="2" w:space="0" w:color="231F20"/>
            </w:tcBorders>
          </w:tcPr>
          <w:p>
            <w:pPr>
              <w:pStyle w:val="TableParagraph"/>
              <w:spacing w:line="163" w:lineRule="exact" w:before="31"/>
              <w:ind w:left="54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1:1</w:t>
            </w:r>
          </w:p>
        </w:tc>
      </w:tr>
      <w:tr>
        <w:trPr>
          <w:trHeight w:val="184" w:hRule="atLeast"/>
        </w:trPr>
        <w:tc>
          <w:tcPr>
            <w:tcW w:w="1529" w:type="dxa"/>
          </w:tcPr>
          <w:p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F2</w:t>
            </w:r>
          </w:p>
        </w:tc>
        <w:tc>
          <w:tcPr>
            <w:tcW w:w="1348" w:type="dxa"/>
          </w:tcPr>
          <w:p>
            <w:pPr>
              <w:pStyle w:val="TableParagraph"/>
              <w:spacing w:line="162" w:lineRule="exact"/>
              <w:ind w:left="59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50</w:t>
            </w:r>
          </w:p>
        </w:tc>
        <w:tc>
          <w:tcPr>
            <w:tcW w:w="1157" w:type="dxa"/>
          </w:tcPr>
          <w:p>
            <w:pPr>
              <w:pStyle w:val="TableParagraph"/>
              <w:spacing w:line="162" w:lineRule="exact"/>
              <w:ind w:left="-5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10</w:t>
            </w:r>
          </w:p>
        </w:tc>
        <w:tc>
          <w:tcPr>
            <w:tcW w:w="1677" w:type="dxa"/>
          </w:tcPr>
          <w:p>
            <w:pPr>
              <w:pStyle w:val="TableParagraph"/>
              <w:spacing w:line="162" w:lineRule="exact"/>
              <w:ind w:left="34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50</w:t>
            </w:r>
          </w:p>
        </w:tc>
        <w:tc>
          <w:tcPr>
            <w:tcW w:w="489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1469" w:type="dxa"/>
          </w:tcPr>
          <w:p>
            <w:pPr>
              <w:pStyle w:val="TableParagraph"/>
              <w:spacing w:line="162" w:lineRule="exact"/>
              <w:ind w:left="59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20</w:t>
            </w:r>
          </w:p>
        </w:tc>
        <w:tc>
          <w:tcPr>
            <w:tcW w:w="922" w:type="dxa"/>
          </w:tcPr>
          <w:p>
            <w:pPr>
              <w:pStyle w:val="TableParagraph"/>
              <w:spacing w:line="162" w:lineRule="exact"/>
              <w:ind w:left="56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10</w:t>
            </w:r>
          </w:p>
        </w:tc>
        <w:tc>
          <w:tcPr>
            <w:tcW w:w="1493" w:type="dxa"/>
          </w:tcPr>
          <w:p>
            <w:pPr>
              <w:pStyle w:val="TableParagraph"/>
              <w:spacing w:line="162" w:lineRule="exact"/>
              <w:ind w:left="54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1:3</w:t>
            </w:r>
          </w:p>
        </w:tc>
      </w:tr>
      <w:tr>
        <w:trPr>
          <w:trHeight w:val="184" w:hRule="atLeast"/>
        </w:trPr>
        <w:tc>
          <w:tcPr>
            <w:tcW w:w="1529" w:type="dxa"/>
          </w:tcPr>
          <w:p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F3</w:t>
            </w:r>
          </w:p>
        </w:tc>
        <w:tc>
          <w:tcPr>
            <w:tcW w:w="1348" w:type="dxa"/>
          </w:tcPr>
          <w:p>
            <w:pPr>
              <w:pStyle w:val="TableParagraph"/>
              <w:spacing w:line="163" w:lineRule="exact"/>
              <w:ind w:left="59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50</w:t>
            </w:r>
          </w:p>
        </w:tc>
        <w:tc>
          <w:tcPr>
            <w:tcW w:w="1157" w:type="dxa"/>
          </w:tcPr>
          <w:p>
            <w:pPr>
              <w:pStyle w:val="TableParagraph"/>
              <w:spacing w:line="163" w:lineRule="exact"/>
              <w:ind w:left="-5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10</w:t>
            </w:r>
          </w:p>
        </w:tc>
        <w:tc>
          <w:tcPr>
            <w:tcW w:w="1677" w:type="dxa"/>
          </w:tcPr>
          <w:p>
            <w:pPr>
              <w:pStyle w:val="TableParagraph"/>
              <w:spacing w:line="163" w:lineRule="exact"/>
              <w:ind w:left="34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50</w:t>
            </w:r>
          </w:p>
        </w:tc>
        <w:tc>
          <w:tcPr>
            <w:tcW w:w="489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1469" w:type="dxa"/>
          </w:tcPr>
          <w:p>
            <w:pPr>
              <w:pStyle w:val="TableParagraph"/>
              <w:spacing w:line="163" w:lineRule="exact"/>
              <w:ind w:left="59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40</w:t>
            </w:r>
          </w:p>
        </w:tc>
        <w:tc>
          <w:tcPr>
            <w:tcW w:w="922" w:type="dxa"/>
          </w:tcPr>
          <w:p>
            <w:pPr>
              <w:pStyle w:val="TableParagraph"/>
              <w:spacing w:line="163" w:lineRule="exact"/>
              <w:ind w:left="56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20</w:t>
            </w:r>
          </w:p>
        </w:tc>
        <w:tc>
          <w:tcPr>
            <w:tcW w:w="1493" w:type="dxa"/>
          </w:tcPr>
          <w:p>
            <w:pPr>
              <w:pStyle w:val="TableParagraph"/>
              <w:spacing w:line="163" w:lineRule="exact"/>
              <w:ind w:left="54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1:6</w:t>
            </w:r>
          </w:p>
        </w:tc>
      </w:tr>
      <w:tr>
        <w:trPr>
          <w:trHeight w:val="220" w:hRule="atLeast"/>
        </w:trPr>
        <w:tc>
          <w:tcPr>
            <w:tcW w:w="1529" w:type="dxa"/>
            <w:tcBorders>
              <w:bottom w:val="single" w:sz="8" w:space="0" w:color="231F2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Placebo</w:t>
            </w:r>
          </w:p>
        </w:tc>
        <w:tc>
          <w:tcPr>
            <w:tcW w:w="1348" w:type="dxa"/>
            <w:tcBorders>
              <w:bottom w:val="single" w:sz="8" w:space="0" w:color="231F20"/>
            </w:tcBorders>
          </w:tcPr>
          <w:p>
            <w:pPr>
              <w:pStyle w:val="TableParagraph"/>
              <w:ind w:left="59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50</w:t>
            </w:r>
          </w:p>
        </w:tc>
        <w:tc>
          <w:tcPr>
            <w:tcW w:w="1157" w:type="dxa"/>
            <w:tcBorders>
              <w:bottom w:val="single" w:sz="8" w:space="0" w:color="231F20"/>
            </w:tcBorders>
          </w:tcPr>
          <w:p>
            <w:pPr>
              <w:pStyle w:val="TableParagraph"/>
              <w:ind w:left="-5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10</w:t>
            </w:r>
          </w:p>
        </w:tc>
        <w:tc>
          <w:tcPr>
            <w:tcW w:w="1677" w:type="dxa"/>
            <w:tcBorders>
              <w:bottom w:val="single" w:sz="8" w:space="0" w:color="231F20"/>
            </w:tcBorders>
          </w:tcPr>
          <w:p>
            <w:pPr>
              <w:pStyle w:val="TableParagraph"/>
              <w:ind w:left="347"/>
              <w:rPr>
                <w:sz w:val="16"/>
              </w:rPr>
            </w:pPr>
            <w:r>
              <w:rPr>
                <w:color w:val="231F20"/>
                <w:w w:val="98"/>
                <w:sz w:val="16"/>
              </w:rPr>
              <w:t>-</w:t>
            </w:r>
          </w:p>
        </w:tc>
        <w:tc>
          <w:tcPr>
            <w:tcW w:w="489" w:type="dxa"/>
            <w:tcBorders>
              <w:bottom w:val="single" w:sz="8" w:space="0" w:color="231F2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469" w:type="dxa"/>
            <w:tcBorders>
              <w:bottom w:val="single" w:sz="8" w:space="0" w:color="231F20"/>
            </w:tcBorders>
          </w:tcPr>
          <w:p>
            <w:pPr>
              <w:pStyle w:val="TableParagraph"/>
              <w:ind w:left="59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40</w:t>
            </w:r>
          </w:p>
        </w:tc>
        <w:tc>
          <w:tcPr>
            <w:tcW w:w="922" w:type="dxa"/>
            <w:tcBorders>
              <w:bottom w:val="single" w:sz="8" w:space="0" w:color="231F20"/>
            </w:tcBorders>
          </w:tcPr>
          <w:p>
            <w:pPr>
              <w:pStyle w:val="TableParagraph"/>
              <w:ind w:left="56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20</w:t>
            </w:r>
          </w:p>
        </w:tc>
        <w:tc>
          <w:tcPr>
            <w:tcW w:w="1493" w:type="dxa"/>
            <w:tcBorders>
              <w:bottom w:val="single" w:sz="8" w:space="0" w:color="231F20"/>
            </w:tcBorders>
          </w:tcPr>
          <w:p>
            <w:pPr>
              <w:pStyle w:val="TableParagraph"/>
              <w:ind w:left="54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1:6</w:t>
            </w:r>
          </w:p>
        </w:tc>
      </w:tr>
      <w:tr>
        <w:trPr>
          <w:trHeight w:val="189" w:hRule="atLeast"/>
        </w:trPr>
        <w:tc>
          <w:tcPr>
            <w:tcW w:w="7669" w:type="dxa"/>
            <w:gridSpan w:val="6"/>
            <w:tcBorders>
              <w:top w:val="single" w:sz="8" w:space="0" w:color="231F20"/>
            </w:tcBorders>
          </w:tcPr>
          <w:p>
            <w:pPr>
              <w:pStyle w:val="TableParagraph"/>
              <w:spacing w:line="141" w:lineRule="exact" w:before="29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SA: Stearic acid, EtoAc: Ethyl acetate, IBU: Ibuprofen, PVP: Polyvinylpyrrolidone, DLM: D-lactose monohydrate</w:t>
            </w:r>
          </w:p>
        </w:tc>
        <w:tc>
          <w:tcPr>
            <w:tcW w:w="922" w:type="dxa"/>
            <w:tcBorders>
              <w:top w:val="single" w:sz="8" w:space="0" w:color="231F2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1493" w:type="dxa"/>
            <w:tcBorders>
              <w:top w:val="single" w:sz="8" w:space="0" w:color="231F2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spacing w:after="0"/>
        <w:rPr>
          <w:rFonts w:ascii="Times New Roman"/>
          <w:sz w:val="12"/>
        </w:rPr>
        <w:sectPr>
          <w:type w:val="continuous"/>
          <w:pgSz w:w="11910" w:h="16840"/>
          <w:pgMar w:top="140" w:bottom="280" w:left="800" w:right="800"/>
        </w:sectPr>
      </w:pPr>
    </w:p>
    <w:p>
      <w:pPr>
        <w:pStyle w:val="BodyText"/>
        <w:spacing w:before="6"/>
        <w:rPr>
          <w:rFonts w:ascii="Caladea"/>
          <w:b/>
          <w:sz w:val="19"/>
        </w:rPr>
      </w:pPr>
    </w:p>
    <w:p>
      <w:pPr>
        <w:spacing w:after="0"/>
        <w:rPr>
          <w:rFonts w:ascii="Caladea"/>
          <w:sz w:val="19"/>
        </w:rPr>
        <w:sectPr>
          <w:pgSz w:w="11910" w:h="16840"/>
          <w:pgMar w:header="695" w:footer="952" w:top="1080" w:bottom="1140" w:left="800" w:right="800"/>
        </w:sectPr>
      </w:pPr>
    </w:p>
    <w:p>
      <w:pPr>
        <w:spacing w:before="103"/>
        <w:ind w:left="112" w:right="0" w:firstLine="0"/>
        <w:jc w:val="left"/>
        <w:rPr>
          <w:rFonts w:ascii="Times New Roman"/>
          <w:i/>
          <w:sz w:val="16"/>
        </w:rPr>
      </w:pPr>
      <w:r>
        <w:rPr>
          <w:rFonts w:ascii="Times New Roman"/>
          <w:i/>
          <w:color w:val="231F20"/>
          <w:w w:val="105"/>
          <w:sz w:val="16"/>
        </w:rPr>
        <w:t>Determination of EE and DL</w:t>
      </w:r>
    </w:p>
    <w:p>
      <w:pPr>
        <w:pStyle w:val="BodyText"/>
        <w:spacing w:line="259" w:lineRule="auto" w:before="58"/>
        <w:ind w:left="112" w:right="39"/>
        <w:jc w:val="both"/>
      </w:pPr>
      <w:r>
        <w:rPr>
          <w:color w:val="231F20"/>
          <w:w w:val="90"/>
        </w:rPr>
        <w:t>The</w:t>
      </w:r>
      <w:r>
        <w:rPr>
          <w:color w:val="231F20"/>
          <w:spacing w:val="-34"/>
          <w:w w:val="90"/>
        </w:rPr>
        <w:t> </w:t>
      </w:r>
      <w:r>
        <w:rPr>
          <w:color w:val="231F20"/>
          <w:w w:val="90"/>
        </w:rPr>
        <w:t>EE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was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determined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using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34"/>
          <w:w w:val="90"/>
        </w:rPr>
        <w:t> </w:t>
      </w:r>
      <w:r>
        <w:rPr>
          <w:color w:val="231F20"/>
          <w:w w:val="90"/>
        </w:rPr>
        <w:t>indirect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method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[17].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brief;</w:t>
      </w:r>
      <w:r>
        <w:rPr>
          <w:color w:val="231F20"/>
          <w:spacing w:val="-34"/>
          <w:w w:val="90"/>
        </w:rPr>
        <w:t> </w:t>
      </w:r>
      <w:r>
        <w:rPr>
          <w:color w:val="231F20"/>
          <w:w w:val="90"/>
        </w:rPr>
        <w:t>20</w:t>
      </w:r>
      <w:r>
        <w:rPr>
          <w:color w:val="231F20"/>
          <w:spacing w:val="-32"/>
          <w:w w:val="90"/>
        </w:rPr>
        <w:t> </w:t>
      </w:r>
      <w:r>
        <w:rPr>
          <w:color w:val="231F20"/>
          <w:w w:val="90"/>
        </w:rPr>
        <w:t>mg </w:t>
      </w:r>
      <w:r>
        <w:rPr>
          <w:color w:val="231F20"/>
          <w:w w:val="95"/>
        </w:rPr>
        <w:t>of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prepared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sample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nanoparticles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were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dispersed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10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mL of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water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vortexed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3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min.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resultant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solution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was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then </w:t>
      </w:r>
      <w:r>
        <w:rPr>
          <w:color w:val="231F20"/>
          <w:w w:val="85"/>
        </w:rPr>
        <w:t>ultracentrifuged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at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15,000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rpm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for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20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min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at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4°C.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supernatant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was discarded as a means of “washing” the nanoparticles. The precipitate </w:t>
      </w:r>
      <w:r>
        <w:rPr>
          <w:color w:val="231F20"/>
          <w:w w:val="90"/>
        </w:rPr>
        <w:t>in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falcon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tubes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was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then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dissolved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10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mL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phosphate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buffer saline</w:t>
      </w:r>
      <w:r>
        <w:rPr>
          <w:color w:val="231F20"/>
          <w:spacing w:val="-32"/>
          <w:w w:val="90"/>
        </w:rPr>
        <w:t> </w:t>
      </w:r>
      <w:r>
        <w:rPr>
          <w:color w:val="231F20"/>
          <w:w w:val="90"/>
        </w:rPr>
        <w:t>pH</w:t>
      </w:r>
      <w:r>
        <w:rPr>
          <w:color w:val="231F20"/>
          <w:spacing w:val="-32"/>
          <w:w w:val="90"/>
        </w:rPr>
        <w:t> </w:t>
      </w:r>
      <w:r>
        <w:rPr>
          <w:color w:val="231F20"/>
          <w:w w:val="90"/>
        </w:rPr>
        <w:t>7.2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by</w:t>
      </w:r>
      <w:r>
        <w:rPr>
          <w:color w:val="231F20"/>
          <w:spacing w:val="-32"/>
          <w:w w:val="90"/>
        </w:rPr>
        <w:t> </w:t>
      </w:r>
      <w:r>
        <w:rPr>
          <w:color w:val="231F20"/>
          <w:w w:val="90"/>
        </w:rPr>
        <w:t>vortex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32"/>
          <w:w w:val="90"/>
        </w:rPr>
        <w:t> </w:t>
      </w:r>
      <w:r>
        <w:rPr>
          <w:color w:val="231F20"/>
          <w:w w:val="90"/>
        </w:rPr>
        <w:t>sonication.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This</w:t>
      </w:r>
      <w:r>
        <w:rPr>
          <w:color w:val="231F20"/>
          <w:spacing w:val="-32"/>
          <w:w w:val="90"/>
        </w:rPr>
        <w:t> </w:t>
      </w:r>
      <w:r>
        <w:rPr>
          <w:color w:val="231F20"/>
          <w:w w:val="90"/>
        </w:rPr>
        <w:t>sample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was</w:t>
      </w:r>
      <w:r>
        <w:rPr>
          <w:color w:val="231F20"/>
          <w:spacing w:val="-32"/>
          <w:w w:val="90"/>
        </w:rPr>
        <w:t> </w:t>
      </w:r>
      <w:r>
        <w:rPr>
          <w:color w:val="231F20"/>
          <w:w w:val="90"/>
        </w:rPr>
        <w:t>then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analyzed </w:t>
      </w:r>
      <w:r>
        <w:rPr>
          <w:color w:val="231F20"/>
          <w:w w:val="85"/>
        </w:rPr>
        <w:t>in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ultraviolet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(U.V)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spectrophotometer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(T80+,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UV/Vis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spectrometer,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PG Instruments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Ltd.)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at</w:t>
      </w:r>
      <w:r>
        <w:rPr>
          <w:color w:val="231F20"/>
          <w:spacing w:val="-9"/>
          <w:w w:val="85"/>
        </w:rPr>
        <w:t> </w:t>
      </w:r>
      <w:r>
        <w:rPr>
          <w:color w:val="231F20"/>
          <w:w w:val="85"/>
        </w:rPr>
        <w:t>221</w:t>
      </w:r>
      <w:r>
        <w:rPr>
          <w:color w:val="231F20"/>
          <w:spacing w:val="-9"/>
          <w:w w:val="85"/>
        </w:rPr>
        <w:t> </w:t>
      </w:r>
      <w:r>
        <w:rPr>
          <w:color w:val="231F20"/>
          <w:w w:val="85"/>
        </w:rPr>
        <w:t>nm.</w:t>
      </w:r>
      <w:r>
        <w:rPr>
          <w:color w:val="231F20"/>
          <w:spacing w:val="-9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EE%</w:t>
      </w:r>
      <w:r>
        <w:rPr>
          <w:color w:val="231F20"/>
          <w:spacing w:val="-9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DL%</w:t>
      </w:r>
      <w:r>
        <w:rPr>
          <w:color w:val="231F20"/>
          <w:spacing w:val="-9"/>
          <w:w w:val="85"/>
        </w:rPr>
        <w:t> </w:t>
      </w:r>
      <w:r>
        <w:rPr>
          <w:color w:val="231F20"/>
          <w:w w:val="85"/>
        </w:rPr>
        <w:t>were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calculated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using </w:t>
      </w:r>
      <w:r>
        <w:rPr>
          <w:color w:val="231F20"/>
          <w:w w:val="95"/>
        </w:rPr>
        <w:t>the formulas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below: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1"/>
        </w:numPr>
        <w:tabs>
          <w:tab w:pos="396" w:val="left" w:leader="none"/>
          <w:tab w:pos="397" w:val="left" w:leader="none"/>
        </w:tabs>
        <w:spacing w:line="240" w:lineRule="auto" w:before="0" w:after="0"/>
        <w:ind w:left="396" w:right="0" w:hanging="285"/>
        <w:jc w:val="left"/>
        <w:rPr>
          <w:rFonts w:ascii="DejaVu Serif" w:hAnsi="DejaVu Serif"/>
          <w:sz w:val="16"/>
        </w:rPr>
      </w:pPr>
      <w:r>
        <w:rPr>
          <w:rFonts w:ascii="DejaVu Serif" w:hAnsi="DejaVu Serif"/>
          <w:color w:val="231F20"/>
          <w:w w:val="95"/>
          <w:sz w:val="16"/>
        </w:rPr>
        <w:t>EE%=(Drug</w:t>
      </w:r>
      <w:r>
        <w:rPr>
          <w:rFonts w:ascii="DejaVu Serif" w:hAnsi="DejaVu Serif"/>
          <w:color w:val="231F20"/>
          <w:spacing w:val="-26"/>
          <w:w w:val="95"/>
          <w:sz w:val="16"/>
        </w:rPr>
        <w:t> </w:t>
      </w:r>
      <w:r>
        <w:rPr>
          <w:rFonts w:ascii="DejaVu Serif" w:hAnsi="DejaVu Serif"/>
          <w:color w:val="231F20"/>
          <w:w w:val="95"/>
          <w:sz w:val="16"/>
        </w:rPr>
        <w:t>in</w:t>
      </w:r>
      <w:r>
        <w:rPr>
          <w:rFonts w:ascii="DejaVu Serif" w:hAnsi="DejaVu Serif"/>
          <w:color w:val="231F20"/>
          <w:spacing w:val="-25"/>
          <w:w w:val="95"/>
          <w:sz w:val="16"/>
        </w:rPr>
        <w:t> </w:t>
      </w:r>
      <w:r>
        <w:rPr>
          <w:rFonts w:ascii="DejaVu Serif" w:hAnsi="DejaVu Serif"/>
          <w:color w:val="231F20"/>
          <w:w w:val="95"/>
          <w:sz w:val="16"/>
        </w:rPr>
        <w:t>precipitate*/total</w:t>
      </w:r>
      <w:r>
        <w:rPr>
          <w:rFonts w:ascii="DejaVu Serif" w:hAnsi="DejaVu Serif"/>
          <w:color w:val="231F20"/>
          <w:spacing w:val="-25"/>
          <w:w w:val="95"/>
          <w:sz w:val="16"/>
        </w:rPr>
        <w:t> </w:t>
      </w:r>
      <w:r>
        <w:rPr>
          <w:rFonts w:ascii="DejaVu Serif" w:hAnsi="DejaVu Serif"/>
          <w:color w:val="231F20"/>
          <w:w w:val="95"/>
          <w:sz w:val="16"/>
        </w:rPr>
        <w:t>added</w:t>
      </w:r>
      <w:r>
        <w:rPr>
          <w:rFonts w:ascii="DejaVu Serif" w:hAnsi="DejaVu Serif"/>
          <w:color w:val="231F20"/>
          <w:spacing w:val="-25"/>
          <w:w w:val="95"/>
          <w:sz w:val="16"/>
        </w:rPr>
        <w:t> </w:t>
      </w:r>
      <w:r>
        <w:rPr>
          <w:rFonts w:ascii="DejaVu Serif" w:hAnsi="DejaVu Serif"/>
          <w:color w:val="231F20"/>
          <w:w w:val="95"/>
          <w:sz w:val="16"/>
        </w:rPr>
        <w:t>drug)×100</w:t>
      </w:r>
    </w:p>
    <w:p>
      <w:pPr>
        <w:pStyle w:val="ListParagraph"/>
        <w:numPr>
          <w:ilvl w:val="0"/>
          <w:numId w:val="1"/>
        </w:numPr>
        <w:tabs>
          <w:tab w:pos="396" w:val="left" w:leader="none"/>
          <w:tab w:pos="397" w:val="left" w:leader="none"/>
        </w:tabs>
        <w:spacing w:line="240" w:lineRule="auto" w:before="15" w:after="0"/>
        <w:ind w:left="396" w:right="0" w:hanging="285"/>
        <w:jc w:val="left"/>
        <w:rPr>
          <w:rFonts w:ascii="DejaVu Serif" w:hAnsi="DejaVu Serif"/>
          <w:sz w:val="16"/>
        </w:rPr>
      </w:pPr>
      <w:r>
        <w:rPr>
          <w:rFonts w:ascii="DejaVu Serif" w:hAnsi="DejaVu Serif"/>
          <w:color w:val="231F20"/>
          <w:w w:val="85"/>
          <w:sz w:val="16"/>
        </w:rPr>
        <w:t>DL%=(Drug</w:t>
      </w:r>
      <w:r>
        <w:rPr>
          <w:rFonts w:ascii="DejaVu Serif" w:hAnsi="DejaVu Serif"/>
          <w:color w:val="231F20"/>
          <w:spacing w:val="-13"/>
          <w:w w:val="85"/>
          <w:sz w:val="16"/>
        </w:rPr>
        <w:t> </w:t>
      </w:r>
      <w:r>
        <w:rPr>
          <w:rFonts w:ascii="DejaVu Serif" w:hAnsi="DejaVu Serif"/>
          <w:color w:val="231F20"/>
          <w:w w:val="85"/>
          <w:sz w:val="16"/>
        </w:rPr>
        <w:t>in</w:t>
      </w:r>
      <w:r>
        <w:rPr>
          <w:rFonts w:ascii="DejaVu Serif" w:hAnsi="DejaVu Serif"/>
          <w:color w:val="231F20"/>
          <w:spacing w:val="-13"/>
          <w:w w:val="85"/>
          <w:sz w:val="16"/>
        </w:rPr>
        <w:t> </w:t>
      </w:r>
      <w:r>
        <w:rPr>
          <w:rFonts w:ascii="DejaVu Serif" w:hAnsi="DejaVu Serif"/>
          <w:color w:val="231F20"/>
          <w:w w:val="85"/>
          <w:sz w:val="16"/>
        </w:rPr>
        <w:t>precipitate/total</w:t>
      </w:r>
      <w:r>
        <w:rPr>
          <w:rFonts w:ascii="DejaVu Serif" w:hAnsi="DejaVu Serif"/>
          <w:color w:val="231F20"/>
          <w:spacing w:val="-13"/>
          <w:w w:val="85"/>
          <w:sz w:val="16"/>
        </w:rPr>
        <w:t> </w:t>
      </w:r>
      <w:r>
        <w:rPr>
          <w:rFonts w:ascii="DejaVu Serif" w:hAnsi="DejaVu Serif"/>
          <w:color w:val="231F20"/>
          <w:w w:val="85"/>
          <w:sz w:val="16"/>
        </w:rPr>
        <w:t>drug+added</w:t>
      </w:r>
      <w:r>
        <w:rPr>
          <w:rFonts w:ascii="DejaVu Serif" w:hAnsi="DejaVu Serif"/>
          <w:color w:val="231F20"/>
          <w:spacing w:val="-13"/>
          <w:w w:val="85"/>
          <w:sz w:val="16"/>
        </w:rPr>
        <w:t> </w:t>
      </w:r>
      <w:r>
        <w:rPr>
          <w:rFonts w:ascii="DejaVu Serif" w:hAnsi="DejaVu Serif"/>
          <w:color w:val="231F20"/>
          <w:w w:val="85"/>
          <w:sz w:val="16"/>
        </w:rPr>
        <w:t>excipients**)×100</w:t>
      </w:r>
    </w:p>
    <w:p>
      <w:pPr>
        <w:pStyle w:val="ListParagraph"/>
        <w:numPr>
          <w:ilvl w:val="0"/>
          <w:numId w:val="1"/>
        </w:numPr>
        <w:tabs>
          <w:tab w:pos="396" w:val="left" w:leader="none"/>
          <w:tab w:pos="397" w:val="left" w:leader="none"/>
        </w:tabs>
        <w:spacing w:line="240" w:lineRule="auto" w:before="15" w:after="0"/>
        <w:ind w:left="396" w:right="0" w:hanging="285"/>
        <w:jc w:val="left"/>
        <w:rPr>
          <w:rFonts w:ascii="DejaVu Serif" w:hAnsi="DejaVu Serif"/>
          <w:sz w:val="16"/>
        </w:rPr>
      </w:pPr>
      <w:r>
        <w:rPr>
          <w:rFonts w:ascii="DejaVu Serif" w:hAnsi="DejaVu Serif"/>
          <w:color w:val="231F20"/>
          <w:spacing w:val="8"/>
          <w:w w:val="95"/>
          <w:sz w:val="16"/>
        </w:rPr>
        <w:t>*Drug</w:t>
      </w:r>
      <w:r>
        <w:rPr>
          <w:rFonts w:ascii="DejaVu Serif" w:hAnsi="DejaVu Serif"/>
          <w:color w:val="231F20"/>
          <w:spacing w:val="-18"/>
          <w:w w:val="95"/>
          <w:sz w:val="16"/>
        </w:rPr>
        <w:t> </w:t>
      </w:r>
      <w:r>
        <w:rPr>
          <w:rFonts w:ascii="DejaVu Serif" w:hAnsi="DejaVu Serif"/>
          <w:color w:val="231F20"/>
          <w:spacing w:val="5"/>
          <w:w w:val="95"/>
          <w:sz w:val="16"/>
        </w:rPr>
        <w:t>in</w:t>
      </w:r>
      <w:r>
        <w:rPr>
          <w:rFonts w:ascii="DejaVu Serif" w:hAnsi="DejaVu Serif"/>
          <w:color w:val="231F20"/>
          <w:spacing w:val="-17"/>
          <w:w w:val="95"/>
          <w:sz w:val="16"/>
        </w:rPr>
        <w:t> </w:t>
      </w:r>
      <w:r>
        <w:rPr>
          <w:rFonts w:ascii="DejaVu Serif" w:hAnsi="DejaVu Serif"/>
          <w:color w:val="231F20"/>
          <w:spacing w:val="9"/>
          <w:w w:val="95"/>
          <w:sz w:val="16"/>
        </w:rPr>
        <w:t>precipitate=Total</w:t>
      </w:r>
      <w:r>
        <w:rPr>
          <w:rFonts w:ascii="DejaVu Serif" w:hAnsi="DejaVu Serif"/>
          <w:color w:val="231F20"/>
          <w:spacing w:val="-17"/>
          <w:w w:val="95"/>
          <w:sz w:val="16"/>
        </w:rPr>
        <w:t> </w:t>
      </w:r>
      <w:r>
        <w:rPr>
          <w:rFonts w:ascii="DejaVu Serif" w:hAnsi="DejaVu Serif"/>
          <w:color w:val="231F20"/>
          <w:spacing w:val="8"/>
          <w:w w:val="95"/>
          <w:sz w:val="16"/>
        </w:rPr>
        <w:t>drug</w:t>
      </w:r>
      <w:r>
        <w:rPr>
          <w:rFonts w:ascii="DejaVu Serif" w:hAnsi="DejaVu Serif"/>
          <w:color w:val="231F20"/>
          <w:spacing w:val="-17"/>
          <w:w w:val="95"/>
          <w:sz w:val="16"/>
        </w:rPr>
        <w:t> </w:t>
      </w:r>
      <w:r>
        <w:rPr>
          <w:rFonts w:ascii="DejaVu Serif" w:hAnsi="DejaVu Serif"/>
          <w:color w:val="231F20"/>
          <w:spacing w:val="8"/>
          <w:w w:val="95"/>
          <w:sz w:val="16"/>
        </w:rPr>
        <w:t>added</w:t>
      </w:r>
      <w:r>
        <w:rPr>
          <w:rFonts w:ascii="DejaVu Serif" w:hAnsi="DejaVu Serif"/>
          <w:color w:val="231F20"/>
          <w:spacing w:val="-17"/>
          <w:w w:val="95"/>
          <w:sz w:val="16"/>
        </w:rPr>
        <w:t> </w:t>
      </w:r>
      <w:r>
        <w:rPr>
          <w:rFonts w:ascii="DejaVu Serif" w:hAnsi="DejaVu Serif"/>
          <w:color w:val="231F20"/>
          <w:w w:val="95"/>
          <w:sz w:val="16"/>
        </w:rPr>
        <w:t>–</w:t>
      </w:r>
      <w:r>
        <w:rPr>
          <w:rFonts w:ascii="DejaVu Serif" w:hAnsi="DejaVu Serif"/>
          <w:color w:val="231F20"/>
          <w:spacing w:val="-17"/>
          <w:w w:val="95"/>
          <w:sz w:val="16"/>
        </w:rPr>
        <w:t> </w:t>
      </w:r>
      <w:r>
        <w:rPr>
          <w:rFonts w:ascii="DejaVu Serif" w:hAnsi="DejaVu Serif"/>
          <w:color w:val="231F20"/>
          <w:spacing w:val="7"/>
          <w:w w:val="95"/>
          <w:sz w:val="16"/>
        </w:rPr>
        <w:t>free</w:t>
      </w:r>
      <w:r>
        <w:rPr>
          <w:rFonts w:ascii="DejaVu Serif" w:hAnsi="DejaVu Serif"/>
          <w:color w:val="231F20"/>
          <w:spacing w:val="-17"/>
          <w:w w:val="95"/>
          <w:sz w:val="16"/>
        </w:rPr>
        <w:t> </w:t>
      </w:r>
      <w:r>
        <w:rPr>
          <w:rFonts w:ascii="DejaVu Serif" w:hAnsi="DejaVu Serif"/>
          <w:color w:val="231F20"/>
          <w:spacing w:val="8"/>
          <w:w w:val="95"/>
          <w:sz w:val="16"/>
        </w:rPr>
        <w:t>drug</w:t>
      </w:r>
      <w:r>
        <w:rPr>
          <w:rFonts w:ascii="DejaVu Serif" w:hAnsi="DejaVu Serif"/>
          <w:color w:val="231F20"/>
          <w:spacing w:val="-18"/>
          <w:w w:val="95"/>
          <w:sz w:val="16"/>
        </w:rPr>
        <w:t> </w:t>
      </w:r>
      <w:r>
        <w:rPr>
          <w:rFonts w:ascii="DejaVu Serif" w:hAnsi="DejaVu Serif"/>
          <w:color w:val="231F20"/>
          <w:spacing w:val="8"/>
          <w:w w:val="95"/>
          <w:sz w:val="16"/>
        </w:rPr>
        <w:t>after</w:t>
      </w:r>
    </w:p>
    <w:p>
      <w:pPr>
        <w:pStyle w:val="BodyText"/>
        <w:spacing w:before="15"/>
        <w:ind w:left="396"/>
      </w:pPr>
      <w:r>
        <w:rPr>
          <w:color w:val="231F20"/>
          <w:w w:val="95"/>
        </w:rPr>
        <w:t>ultracentrifugation</w:t>
      </w:r>
    </w:p>
    <w:p>
      <w:pPr>
        <w:pStyle w:val="ListParagraph"/>
        <w:numPr>
          <w:ilvl w:val="0"/>
          <w:numId w:val="1"/>
        </w:numPr>
        <w:tabs>
          <w:tab w:pos="396" w:val="left" w:leader="none"/>
          <w:tab w:pos="397" w:val="left" w:leader="none"/>
        </w:tabs>
        <w:spacing w:line="240" w:lineRule="auto" w:before="15" w:after="0"/>
        <w:ind w:left="396" w:right="0" w:hanging="285"/>
        <w:jc w:val="left"/>
        <w:rPr>
          <w:rFonts w:ascii="DejaVu Serif" w:hAnsi="DejaVu Serif"/>
          <w:sz w:val="16"/>
        </w:rPr>
      </w:pPr>
      <w:r>
        <w:rPr>
          <w:rFonts w:ascii="DejaVu Serif" w:hAnsi="DejaVu Serif"/>
          <w:color w:val="231F20"/>
          <w:w w:val="95"/>
          <w:sz w:val="16"/>
        </w:rPr>
        <w:t>**Added</w:t>
      </w:r>
      <w:r>
        <w:rPr>
          <w:rFonts w:ascii="DejaVu Serif" w:hAnsi="DejaVu Serif"/>
          <w:color w:val="231F20"/>
          <w:spacing w:val="-26"/>
          <w:w w:val="95"/>
          <w:sz w:val="16"/>
        </w:rPr>
        <w:t> </w:t>
      </w:r>
      <w:r>
        <w:rPr>
          <w:rFonts w:ascii="DejaVu Serif" w:hAnsi="DejaVu Serif"/>
          <w:color w:val="231F20"/>
          <w:w w:val="95"/>
          <w:sz w:val="16"/>
        </w:rPr>
        <w:t>excipients=Lipids+surfactant+binder.</w:t>
      </w:r>
    </w:p>
    <w:p>
      <w:pPr>
        <w:pStyle w:val="BodyText"/>
        <w:spacing w:before="11"/>
        <w:rPr>
          <w:sz w:val="20"/>
        </w:rPr>
      </w:pPr>
    </w:p>
    <w:p>
      <w:pPr>
        <w:spacing w:before="0"/>
        <w:ind w:left="112" w:right="0" w:firstLine="0"/>
        <w:jc w:val="left"/>
        <w:rPr>
          <w:rFonts w:ascii="Times New Roman"/>
          <w:i/>
          <w:sz w:val="16"/>
        </w:rPr>
      </w:pPr>
      <w:r>
        <w:rPr>
          <w:rFonts w:ascii="Times New Roman"/>
          <w:i/>
          <w:color w:val="231F20"/>
          <w:w w:val="105"/>
          <w:sz w:val="16"/>
        </w:rPr>
        <w:t>Thermal properties</w:t>
      </w:r>
    </w:p>
    <w:p>
      <w:pPr>
        <w:pStyle w:val="BodyText"/>
        <w:spacing w:line="259" w:lineRule="auto" w:before="58"/>
        <w:ind w:left="112" w:right="39"/>
        <w:jc w:val="both"/>
      </w:pPr>
      <w:r>
        <w:rPr>
          <w:color w:val="231F20"/>
          <w:w w:val="90"/>
        </w:rPr>
        <w:t>Thermogravimetric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analysis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(TGA)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was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used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measure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physical and chemical changes of the drug and drug-loaded nanoparticles </w:t>
      </w:r>
      <w:r>
        <w:rPr>
          <w:color w:val="231F20"/>
          <w:w w:val="95"/>
        </w:rPr>
        <w:t>as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function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temperature.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sample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IBU-free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drug,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placebo </w:t>
      </w:r>
      <w:r>
        <w:rPr>
          <w:color w:val="231F20"/>
          <w:w w:val="85"/>
        </w:rPr>
        <w:t>nanoparticles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IBU-loaded</w:t>
      </w:r>
      <w:r>
        <w:rPr>
          <w:color w:val="231F20"/>
          <w:spacing w:val="-6"/>
          <w:w w:val="85"/>
        </w:rPr>
        <w:t> </w:t>
      </w:r>
      <w:r>
        <w:rPr>
          <w:color w:val="231F20"/>
          <w:w w:val="85"/>
        </w:rPr>
        <w:t>nanoparticles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were</w:t>
      </w:r>
      <w:r>
        <w:rPr>
          <w:color w:val="231F20"/>
          <w:spacing w:val="-6"/>
          <w:w w:val="85"/>
        </w:rPr>
        <w:t> </w:t>
      </w:r>
      <w:r>
        <w:rPr>
          <w:color w:val="231F20"/>
          <w:w w:val="85"/>
        </w:rPr>
        <w:t>analyzed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using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TGA (TGA-4000;</w:t>
      </w:r>
      <w:r>
        <w:rPr>
          <w:color w:val="231F20"/>
          <w:spacing w:val="-18"/>
          <w:w w:val="85"/>
        </w:rPr>
        <w:t> </w:t>
      </w:r>
      <w:r>
        <w:rPr>
          <w:color w:val="231F20"/>
          <w:spacing w:val="-3"/>
          <w:w w:val="85"/>
        </w:rPr>
        <w:t>PerkinElmer,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Thermogravimetric</w:t>
      </w:r>
      <w:r>
        <w:rPr>
          <w:color w:val="231F20"/>
          <w:spacing w:val="-17"/>
          <w:w w:val="85"/>
        </w:rPr>
        <w:t> </w:t>
      </w:r>
      <w:r>
        <w:rPr>
          <w:color w:val="231F20"/>
          <w:spacing w:val="-3"/>
          <w:w w:val="85"/>
        </w:rPr>
        <w:t>analyzer,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USA)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connected to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an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inert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nitrogen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gas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flow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at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heating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rate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10°C/min.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TGA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was </w:t>
      </w:r>
      <w:r>
        <w:rPr>
          <w:color w:val="231F20"/>
          <w:w w:val="95"/>
        </w:rPr>
        <w:t>also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used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confirm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approximate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DL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capacity.</w:t>
      </w:r>
    </w:p>
    <w:p>
      <w:pPr>
        <w:pStyle w:val="BodyText"/>
        <w:spacing w:before="9"/>
        <w:rPr>
          <w:sz w:val="19"/>
        </w:rPr>
      </w:pPr>
    </w:p>
    <w:p>
      <w:pPr>
        <w:spacing w:before="0"/>
        <w:ind w:left="112" w:right="0" w:firstLine="0"/>
        <w:jc w:val="left"/>
        <w:rPr>
          <w:rFonts w:ascii="Times New Roman"/>
          <w:i/>
          <w:sz w:val="16"/>
        </w:rPr>
      </w:pPr>
      <w:r>
        <w:rPr>
          <w:rFonts w:ascii="Times New Roman"/>
          <w:i/>
          <w:color w:val="231F20"/>
          <w:w w:val="105"/>
          <w:sz w:val="16"/>
        </w:rPr>
        <w:t>Surface morphology</w:t>
      </w:r>
    </w:p>
    <w:p>
      <w:pPr>
        <w:pStyle w:val="BodyText"/>
        <w:spacing w:line="259" w:lineRule="auto" w:before="58"/>
        <w:ind w:left="112" w:right="40"/>
        <w:jc w:val="both"/>
      </w:pPr>
      <w:r>
        <w:rPr>
          <w:color w:val="231F20"/>
          <w:w w:val="90"/>
        </w:rPr>
        <w:t>Transmission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electron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microscopy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(TEM)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was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used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provide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8"/>
          <w:w w:val="90"/>
        </w:rPr>
        <w:t> </w:t>
      </w:r>
      <w:r>
        <w:rPr>
          <w:color w:val="231F20"/>
          <w:spacing w:val="-3"/>
          <w:w w:val="90"/>
        </w:rPr>
        <w:t>way </w:t>
      </w:r>
      <w:r>
        <w:rPr>
          <w:color w:val="231F20"/>
          <w:w w:val="85"/>
        </w:rPr>
        <w:t>to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directly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observe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morphological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appearance</w:t>
      </w:r>
      <w:r>
        <w:rPr>
          <w:color w:val="231F20"/>
          <w:spacing w:val="-9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nanoparticles and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shape.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placebo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drug-loaded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nanoparticles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were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placed </w:t>
      </w:r>
      <w:r>
        <w:rPr>
          <w:color w:val="231F20"/>
          <w:w w:val="90"/>
        </w:rPr>
        <w:t>on a formvar-coated grid; air dried then loaded on the TEM, JEOL 1400,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image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collection.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Fourier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transform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infrared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spectroscopy </w:t>
      </w:r>
      <w:r>
        <w:rPr>
          <w:color w:val="231F20"/>
          <w:w w:val="85"/>
        </w:rPr>
        <w:t>(FTIR)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was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also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used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to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determine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functional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groups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present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on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the surface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nanoparticle.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This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was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done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on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FTIR,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Nicolet,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iS50,</w:t>
      </w:r>
      <w:r>
        <w:rPr>
          <w:color w:val="231F20"/>
          <w:spacing w:val="-15"/>
          <w:w w:val="85"/>
        </w:rPr>
        <w:t> </w:t>
      </w:r>
      <w:r>
        <w:rPr>
          <w:color w:val="231F20"/>
          <w:spacing w:val="-4"/>
          <w:w w:val="85"/>
        </w:rPr>
        <w:t>FT-IR </w:t>
      </w:r>
      <w:r>
        <w:rPr>
          <w:color w:val="231F20"/>
          <w:w w:val="95"/>
        </w:rPr>
        <w:t>spectrometer.</w:t>
      </w:r>
    </w:p>
    <w:p>
      <w:pPr>
        <w:pStyle w:val="BodyText"/>
        <w:spacing w:before="9"/>
        <w:rPr>
          <w:sz w:val="19"/>
        </w:rPr>
      </w:pPr>
    </w:p>
    <w:p>
      <w:pPr>
        <w:spacing w:before="0"/>
        <w:ind w:left="112" w:right="0" w:firstLine="0"/>
        <w:jc w:val="left"/>
        <w:rPr>
          <w:rFonts w:ascii="Times New Roman"/>
          <w:i/>
          <w:sz w:val="16"/>
        </w:rPr>
      </w:pPr>
      <w:r>
        <w:rPr>
          <w:rFonts w:ascii="Times New Roman"/>
          <w:i/>
          <w:color w:val="231F20"/>
          <w:sz w:val="16"/>
        </w:rPr>
        <w:t>X-ray diffraction (XRD) studies</w:t>
      </w:r>
    </w:p>
    <w:p>
      <w:pPr>
        <w:pStyle w:val="BodyText"/>
        <w:spacing w:line="259" w:lineRule="auto" w:before="58"/>
        <w:ind w:left="112" w:right="39"/>
        <w:jc w:val="both"/>
      </w:pPr>
      <w:r>
        <w:rPr>
          <w:color w:val="231F20"/>
          <w:spacing w:val="-3"/>
          <w:w w:val="90"/>
        </w:rPr>
        <w:t>X-ray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powder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diffraction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studies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pure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IBU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drug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IBU-loaded nanoparticles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were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performed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using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Siemens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D500.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Measurement conditions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included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target,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CuKα,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voltage,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40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kV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current,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30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mA. 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system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diverging,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receiving,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anti-scattering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slits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1°,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1°, and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1°,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0.15°,</w:t>
      </w:r>
      <w:r>
        <w:rPr>
          <w:color w:val="231F20"/>
          <w:spacing w:val="-23"/>
          <w:w w:val="90"/>
        </w:rPr>
        <w:t> </w:t>
      </w:r>
      <w:r>
        <w:rPr>
          <w:color w:val="231F20"/>
          <w:spacing w:val="-3"/>
          <w:w w:val="90"/>
        </w:rPr>
        <w:t>respectively,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were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used.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Jade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6.0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will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was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used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data </w:t>
      </w:r>
      <w:r>
        <w:rPr>
          <w:color w:val="231F20"/>
          <w:w w:val="95"/>
        </w:rPr>
        <w:t>collection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processing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(Materials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Delta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Inc.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U.S.A.).</w:t>
      </w:r>
    </w:p>
    <w:p>
      <w:pPr>
        <w:pStyle w:val="BodyText"/>
        <w:spacing w:before="8"/>
        <w:rPr>
          <w:sz w:val="19"/>
        </w:rPr>
      </w:pPr>
    </w:p>
    <w:p>
      <w:pPr>
        <w:spacing w:before="1"/>
        <w:ind w:left="112" w:right="0" w:firstLine="0"/>
        <w:jc w:val="left"/>
        <w:rPr>
          <w:rFonts w:ascii="Times New Roman"/>
          <w:i/>
          <w:sz w:val="16"/>
        </w:rPr>
      </w:pPr>
      <w:r>
        <w:rPr>
          <w:rFonts w:ascii="Times New Roman"/>
          <w:i/>
          <w:color w:val="231F20"/>
          <w:w w:val="105"/>
          <w:sz w:val="16"/>
        </w:rPr>
        <w:t>In vitro release experiment</w:t>
      </w:r>
    </w:p>
    <w:p>
      <w:pPr>
        <w:pStyle w:val="BodyText"/>
        <w:spacing w:line="259" w:lineRule="auto" w:before="57"/>
        <w:ind w:left="112" w:right="38"/>
        <w:jc w:val="both"/>
      </w:pPr>
      <w:r>
        <w:rPr>
          <w:rFonts w:ascii="Times New Roman" w:hAnsi="Times New Roman"/>
          <w:i/>
          <w:color w:val="231F20"/>
          <w:w w:val="95"/>
        </w:rPr>
        <w:t>In vitro </w:t>
      </w:r>
      <w:r>
        <w:rPr>
          <w:color w:val="231F20"/>
          <w:w w:val="95"/>
        </w:rPr>
        <w:t>drug dissolution studies were performed for optimum </w:t>
      </w:r>
      <w:r>
        <w:rPr>
          <w:color w:val="231F20"/>
          <w:w w:val="85"/>
        </w:rPr>
        <w:t>formulations. Pharma </w:t>
      </w:r>
      <w:r>
        <w:rPr>
          <w:color w:val="231F20"/>
          <w:spacing w:val="-4"/>
          <w:w w:val="85"/>
        </w:rPr>
        <w:t>Test </w:t>
      </w:r>
      <w:r>
        <w:rPr>
          <w:color w:val="231F20"/>
          <w:w w:val="85"/>
        </w:rPr>
        <w:t>Dissolution Apparatus (D 63514, Hainburg </w:t>
      </w:r>
      <w:r>
        <w:rPr>
          <w:color w:val="231F20"/>
          <w:w w:val="90"/>
        </w:rPr>
        <w:t>Germany)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was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used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> </w:t>
      </w:r>
      <w:r>
        <w:rPr>
          <w:rFonts w:ascii="Times New Roman" w:hAnsi="Times New Roman"/>
          <w:i/>
          <w:color w:val="231F20"/>
          <w:w w:val="90"/>
        </w:rPr>
        <w:t>in</w:t>
      </w:r>
      <w:r>
        <w:rPr>
          <w:rFonts w:ascii="Times New Roman" w:hAnsi="Times New Roman"/>
          <w:i/>
          <w:color w:val="231F20"/>
          <w:spacing w:val="-1"/>
          <w:w w:val="90"/>
        </w:rPr>
        <w:t> </w:t>
      </w:r>
      <w:r>
        <w:rPr>
          <w:rFonts w:ascii="Times New Roman" w:hAnsi="Times New Roman"/>
          <w:i/>
          <w:color w:val="231F20"/>
          <w:w w:val="90"/>
        </w:rPr>
        <w:t>vitro </w:t>
      </w:r>
      <w:r>
        <w:rPr>
          <w:color w:val="231F20"/>
          <w:w w:val="90"/>
        </w:rPr>
        <w:t>IBU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release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studies.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This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method adopted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rotating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basket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method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which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was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filled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with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4"/>
          <w:w w:val="90"/>
        </w:rPr>
        <w:t>water,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and the temperature was maintained at a constant value of 37±0.1°C. The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rotating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speed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basket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was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kept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constant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at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100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rpm.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The dissolution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solvent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used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was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phosphate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buffer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saline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pH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6.8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where 20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mg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IBU-loaded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nanoparticles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were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put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10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mL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solvent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in falcon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tubes.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falcon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tubes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were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then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placed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shaking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basket and</w:t>
      </w:r>
      <w:r>
        <w:rPr>
          <w:color w:val="231F20"/>
          <w:spacing w:val="-32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drug</w:t>
      </w:r>
      <w:r>
        <w:rPr>
          <w:color w:val="231F20"/>
          <w:spacing w:val="-32"/>
          <w:w w:val="90"/>
        </w:rPr>
        <w:t> </w:t>
      </w:r>
      <w:r>
        <w:rPr>
          <w:color w:val="231F20"/>
          <w:w w:val="90"/>
        </w:rPr>
        <w:t>diffusion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into</w:t>
      </w:r>
      <w:r>
        <w:rPr>
          <w:color w:val="231F20"/>
          <w:spacing w:val="-32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solvent</w:t>
      </w:r>
      <w:r>
        <w:rPr>
          <w:color w:val="231F20"/>
          <w:spacing w:val="-32"/>
          <w:w w:val="90"/>
        </w:rPr>
        <w:t> </w:t>
      </w:r>
      <w:r>
        <w:rPr>
          <w:color w:val="231F20"/>
          <w:w w:val="90"/>
        </w:rPr>
        <w:t>allowed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32"/>
          <w:w w:val="90"/>
        </w:rPr>
        <w:t> </w:t>
      </w:r>
      <w:r>
        <w:rPr>
          <w:color w:val="231F20"/>
          <w:w w:val="90"/>
        </w:rPr>
        <w:t>take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place</w:t>
      </w:r>
      <w:r>
        <w:rPr>
          <w:color w:val="231F20"/>
          <w:spacing w:val="-32"/>
          <w:w w:val="90"/>
        </w:rPr>
        <w:t> </w:t>
      </w:r>
      <w:r>
        <w:rPr>
          <w:color w:val="231F20"/>
          <w:w w:val="90"/>
        </w:rPr>
        <w:t>over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time. </w:t>
      </w:r>
      <w:r>
        <w:rPr>
          <w:color w:val="231F20"/>
          <w:w w:val="85"/>
        </w:rPr>
        <w:t>At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specific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time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intervals,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samples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were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withdrawn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from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dissolution solvent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immediately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replaced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by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fresh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solvent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which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was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already</w:t>
      </w:r>
    </w:p>
    <w:p>
      <w:pPr>
        <w:pStyle w:val="BodyText"/>
        <w:spacing w:line="259" w:lineRule="auto" w:before="104"/>
        <w:ind w:left="112" w:right="110"/>
        <w:jc w:val="both"/>
      </w:pPr>
      <w:r>
        <w:rPr/>
        <w:br w:type="column"/>
      </w:r>
      <w:r>
        <w:rPr>
          <w:color w:val="231F20"/>
          <w:w w:val="90"/>
        </w:rPr>
        <w:t>stored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at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same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temperature.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samples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were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analyzed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using </w:t>
      </w:r>
      <w:r>
        <w:rPr>
          <w:color w:val="231F20"/>
          <w:spacing w:val="-4"/>
          <w:w w:val="90"/>
        </w:rPr>
        <w:t>UV-Vis </w:t>
      </w:r>
      <w:r>
        <w:rPr>
          <w:color w:val="231F20"/>
          <w:w w:val="90"/>
        </w:rPr>
        <w:t>spectrophotometer at 221 nm to get their absorbance and subsequent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concentrations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drug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dissolved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solvent.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The </w:t>
      </w:r>
      <w:r>
        <w:rPr>
          <w:rFonts w:ascii="Times New Roman"/>
          <w:i/>
          <w:color w:val="231F20"/>
          <w:w w:val="85"/>
        </w:rPr>
        <w:t>in</w:t>
      </w:r>
      <w:r>
        <w:rPr>
          <w:rFonts w:ascii="Times New Roman"/>
          <w:i/>
          <w:color w:val="231F20"/>
          <w:spacing w:val="-10"/>
          <w:w w:val="85"/>
        </w:rPr>
        <w:t> </w:t>
      </w:r>
      <w:r>
        <w:rPr>
          <w:rFonts w:ascii="Times New Roman"/>
          <w:i/>
          <w:color w:val="231F20"/>
          <w:w w:val="85"/>
        </w:rPr>
        <w:t>vitro</w:t>
      </w:r>
      <w:r>
        <w:rPr>
          <w:rFonts w:ascii="Times New Roman"/>
          <w:i/>
          <w:color w:val="231F20"/>
          <w:spacing w:val="-11"/>
          <w:w w:val="85"/>
        </w:rPr>
        <w:t> </w:t>
      </w:r>
      <w:r>
        <w:rPr>
          <w:color w:val="231F20"/>
          <w:w w:val="85"/>
        </w:rPr>
        <w:t>drug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release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was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then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plotted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as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cumulative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drug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released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versus </w:t>
      </w:r>
      <w:r>
        <w:rPr>
          <w:color w:val="231F20"/>
          <w:w w:val="90"/>
        </w:rPr>
        <w:t>time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indicate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how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long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formulation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released.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Furthermore,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the drug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release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kinetics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from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matrix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each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formulations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was </w:t>
      </w:r>
      <w:r>
        <w:rPr>
          <w:color w:val="231F20"/>
          <w:w w:val="85"/>
        </w:rPr>
        <w:t>subjected to zero-order kinetics, first-order kinetics, Higuchi</w:t>
      </w:r>
      <w:r>
        <w:rPr>
          <w:color w:val="231F20"/>
          <w:spacing w:val="-29"/>
          <w:w w:val="85"/>
        </w:rPr>
        <w:t> </w:t>
      </w:r>
      <w:r>
        <w:rPr>
          <w:color w:val="231F20"/>
          <w:w w:val="85"/>
        </w:rPr>
        <w:t>kinetics, </w:t>
      </w:r>
      <w:r>
        <w:rPr>
          <w:color w:val="231F20"/>
          <w:w w:val="95"/>
        </w:rPr>
        <w:t>and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Korsmeyer-Peppas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models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further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interpretations.</w:t>
      </w:r>
    </w:p>
    <w:p>
      <w:pPr>
        <w:pStyle w:val="BodyText"/>
        <w:spacing w:before="4"/>
      </w:pPr>
    </w:p>
    <w:p>
      <w:pPr>
        <w:pStyle w:val="Heading2"/>
      </w:pPr>
      <w:r>
        <w:rPr>
          <w:color w:val="231F20"/>
        </w:rPr>
        <w:t>RESULTS AND DISCUSSION</w:t>
      </w:r>
    </w:p>
    <w:p>
      <w:pPr>
        <w:spacing w:before="135"/>
        <w:ind w:left="112" w:right="0" w:firstLine="0"/>
        <w:jc w:val="left"/>
        <w:rPr>
          <w:rFonts w:ascii="Caladea"/>
          <w:b/>
          <w:sz w:val="16"/>
        </w:rPr>
      </w:pPr>
      <w:r>
        <w:rPr>
          <w:rFonts w:ascii="Caladea"/>
          <w:b/>
          <w:color w:val="231F20"/>
          <w:sz w:val="16"/>
        </w:rPr>
        <w:t>Particle size and</w:t>
      </w:r>
      <w:r>
        <w:rPr>
          <w:rFonts w:ascii="Caladea"/>
          <w:b/>
          <w:color w:val="231F20"/>
          <w:spacing w:val="-15"/>
          <w:sz w:val="16"/>
        </w:rPr>
        <w:t> </w:t>
      </w:r>
      <w:r>
        <w:rPr>
          <w:rFonts w:ascii="Caladea"/>
          <w:b/>
          <w:color w:val="231F20"/>
          <w:sz w:val="16"/>
        </w:rPr>
        <w:t>PDI</w:t>
      </w:r>
    </w:p>
    <w:p>
      <w:pPr>
        <w:pStyle w:val="BodyText"/>
        <w:spacing w:line="259" w:lineRule="auto" w:before="17"/>
        <w:ind w:left="112" w:right="109"/>
        <w:jc w:val="both"/>
      </w:pP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particle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size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measurements,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polydispersity,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zeta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potential,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EE, DL,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yield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formulation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F1,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F2,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F3,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placebo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are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given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in </w:t>
      </w:r>
      <w:r>
        <w:rPr>
          <w:color w:val="231F20"/>
          <w:spacing w:val="-4"/>
          <w:w w:val="90"/>
        </w:rPr>
        <w:t>Table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2.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placebo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nanoparticles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were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prepared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after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optimal formulation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was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identified.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PCS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graphs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yielded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from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dynamic light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scattering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zetasizer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are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presented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Fig.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2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confirm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the </w:t>
      </w:r>
      <w:r>
        <w:rPr>
          <w:color w:val="231F20"/>
          <w:w w:val="95"/>
        </w:rPr>
        <w:t>particle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sizes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PDI.</w:t>
      </w:r>
    </w:p>
    <w:p>
      <w:pPr>
        <w:pStyle w:val="BodyText"/>
        <w:spacing w:before="7"/>
      </w:pPr>
    </w:p>
    <w:p>
      <w:pPr>
        <w:pStyle w:val="BodyText"/>
        <w:spacing w:line="259" w:lineRule="auto" w:before="1"/>
        <w:ind w:left="112" w:right="110"/>
        <w:jc w:val="both"/>
      </w:pPr>
      <w:r>
        <w:rPr>
          <w:color w:val="231F20"/>
          <w:w w:val="90"/>
        </w:rPr>
        <w:t>From the results obtained, the formulation with an internal to the external ratio of 1:1 comparatively </w:t>
      </w:r>
      <w:r>
        <w:rPr>
          <w:color w:val="231F20"/>
          <w:spacing w:val="-3"/>
          <w:w w:val="90"/>
        </w:rPr>
        <w:t>gave </w:t>
      </w:r>
      <w:r>
        <w:rPr>
          <w:color w:val="231F20"/>
          <w:w w:val="90"/>
        </w:rPr>
        <w:t>the largest particle sizes </w:t>
      </w:r>
      <w:r>
        <w:rPr>
          <w:color w:val="231F20"/>
          <w:w w:val="85"/>
        </w:rPr>
        <w:t>with a non-uniform particle distribution (PDI=0.304). The PDI values </w:t>
      </w:r>
      <w:r>
        <w:rPr>
          <w:color w:val="231F20"/>
          <w:w w:val="90"/>
        </w:rPr>
        <w:t>are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expected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generally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low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(0.001–0.290)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homogeneous system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[19].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higher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values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PDI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are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an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indication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very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wide distribution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32"/>
          <w:w w:val="90"/>
        </w:rPr>
        <w:t> </w:t>
      </w:r>
      <w:r>
        <w:rPr>
          <w:color w:val="231F20"/>
          <w:w w:val="90"/>
        </w:rPr>
        <w:t>particle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sizes,</w:t>
      </w:r>
      <w:r>
        <w:rPr>
          <w:color w:val="231F20"/>
          <w:spacing w:val="-32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this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32"/>
          <w:w w:val="90"/>
        </w:rPr>
        <w:t> </w:t>
      </w:r>
      <w:r>
        <w:rPr>
          <w:color w:val="231F20"/>
          <w:w w:val="90"/>
        </w:rPr>
        <w:t>also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evident</w:t>
      </w:r>
      <w:r>
        <w:rPr>
          <w:color w:val="231F20"/>
          <w:spacing w:val="-32"/>
          <w:w w:val="90"/>
        </w:rPr>
        <w:t> </w:t>
      </w:r>
      <w:r>
        <w:rPr>
          <w:color w:val="231F20"/>
          <w:w w:val="90"/>
        </w:rPr>
        <w:t>from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32"/>
          <w:w w:val="90"/>
        </w:rPr>
        <w:t> </w:t>
      </w:r>
      <w:r>
        <w:rPr>
          <w:color w:val="231F20"/>
          <w:w w:val="90"/>
        </w:rPr>
        <w:t>nature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of </w:t>
      </w:r>
      <w:r>
        <w:rPr>
          <w:color w:val="231F20"/>
          <w:w w:val="95"/>
        </w:rPr>
        <w:t>the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graph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obtained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from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PCS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analysis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(Fig.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2).</w:t>
      </w:r>
    </w:p>
    <w:p>
      <w:pPr>
        <w:pStyle w:val="BodyText"/>
        <w:spacing w:before="7"/>
      </w:pPr>
    </w:p>
    <w:p>
      <w:pPr>
        <w:pStyle w:val="BodyText"/>
        <w:spacing w:line="259" w:lineRule="auto" w:before="1"/>
        <w:ind w:left="112" w:right="109"/>
        <w:jc w:val="both"/>
      </w:pPr>
      <w:r>
        <w:rPr>
          <w:color w:val="231F20"/>
          <w:w w:val="85"/>
        </w:rPr>
        <w:t>Similar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results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were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obtained</w:t>
      </w:r>
      <w:r>
        <w:rPr>
          <w:color w:val="231F20"/>
          <w:spacing w:val="-9"/>
          <w:w w:val="85"/>
        </w:rPr>
        <w:t> </w:t>
      </w:r>
      <w:r>
        <w:rPr>
          <w:color w:val="231F20"/>
          <w:w w:val="85"/>
        </w:rPr>
        <w:t>when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primaquine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was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encapsulated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into SLNs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containing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SA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in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organic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internal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phase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aqueous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surfactants of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polyvinyl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alcohol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lactose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in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external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phase.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ratio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1:1</w:t>
      </w:r>
      <w:r>
        <w:rPr>
          <w:color w:val="231F20"/>
          <w:spacing w:val="-17"/>
          <w:w w:val="85"/>
        </w:rPr>
        <w:t> </w:t>
      </w:r>
      <w:r>
        <w:rPr>
          <w:color w:val="231F20"/>
          <w:spacing w:val="-3"/>
          <w:w w:val="85"/>
        </w:rPr>
        <w:t>gave </w:t>
      </w:r>
      <w:r>
        <w:rPr>
          <w:color w:val="231F20"/>
          <w:w w:val="90"/>
        </w:rPr>
        <w:t>particle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sizes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653.7±8.7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nm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PDI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0.61±0.12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[17].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3"/>
          <w:w w:val="90"/>
        </w:rPr>
        <w:t>Equally, </w:t>
      </w:r>
      <w:r>
        <w:rPr>
          <w:color w:val="231F20"/>
          <w:w w:val="85"/>
        </w:rPr>
        <w:t>when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IBU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was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encapsulated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to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PVP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alone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with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ratio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1:1,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particle </w:t>
      </w:r>
      <w:r>
        <w:rPr>
          <w:color w:val="231F20"/>
          <w:w w:val="90"/>
        </w:rPr>
        <w:t>sizes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were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670±76.39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nm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PDI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0.65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[12].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This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observation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was </w:t>
      </w:r>
      <w:r>
        <w:rPr>
          <w:color w:val="231F20"/>
          <w:w w:val="85"/>
        </w:rPr>
        <w:t>attributed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to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difficulty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in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dispersing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one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phase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into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other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phase </w:t>
      </w:r>
      <w:r>
        <w:rPr>
          <w:color w:val="231F20"/>
          <w:w w:val="90"/>
        </w:rPr>
        <w:t>as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same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quantities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were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used.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an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ideal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scenario,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dispersed phase should be of smaller quantities than the dispersant [12,17]. </w:t>
      </w:r>
      <w:r>
        <w:rPr>
          <w:color w:val="231F20"/>
          <w:w w:val="85"/>
        </w:rPr>
        <w:t>Formulations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F2,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F3,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placebo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showed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particle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sizes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81.62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nm,</w:t>
      </w:r>
    </w:p>
    <w:p>
      <w:pPr>
        <w:pStyle w:val="BodyText"/>
        <w:spacing w:line="259" w:lineRule="auto" w:before="6"/>
        <w:ind w:left="112" w:right="108"/>
        <w:jc w:val="both"/>
      </w:pPr>
      <w:r>
        <w:rPr>
          <w:color w:val="231F20"/>
          <w:w w:val="85"/>
        </w:rPr>
        <w:t>76.40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nm,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70.58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nm,</w:t>
      </w:r>
      <w:r>
        <w:rPr>
          <w:color w:val="231F20"/>
          <w:spacing w:val="-7"/>
          <w:w w:val="85"/>
        </w:rPr>
        <w:t> </w:t>
      </w:r>
      <w:r>
        <w:rPr>
          <w:color w:val="231F20"/>
          <w:spacing w:val="-3"/>
          <w:w w:val="85"/>
        </w:rPr>
        <w:t>respectively.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placebo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nanoparticles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were slightly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smaller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in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size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compared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to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drug-loaded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nanoparticles.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The PDI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three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formulations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was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0.279,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0.275,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0.257,</w:t>
      </w:r>
      <w:r>
        <w:rPr>
          <w:color w:val="231F20"/>
          <w:spacing w:val="-14"/>
          <w:w w:val="85"/>
        </w:rPr>
        <w:t> </w:t>
      </w:r>
      <w:r>
        <w:rPr>
          <w:color w:val="231F20"/>
          <w:spacing w:val="-3"/>
          <w:w w:val="85"/>
        </w:rPr>
        <w:t>respectively,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this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shows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acceptable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particle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size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distribution,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which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is homogeneous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monodispersed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[12].</w:t>
      </w:r>
    </w:p>
    <w:p>
      <w:pPr>
        <w:pStyle w:val="BodyText"/>
        <w:spacing w:before="3"/>
      </w:pPr>
    </w:p>
    <w:p>
      <w:pPr>
        <w:pStyle w:val="Heading2"/>
      </w:pPr>
      <w:r>
        <w:rPr>
          <w:color w:val="231F20"/>
        </w:rPr>
        <w:t>Zeta potential</w:t>
      </w:r>
    </w:p>
    <w:p>
      <w:pPr>
        <w:pStyle w:val="BodyText"/>
        <w:spacing w:line="259" w:lineRule="auto" w:before="18"/>
        <w:ind w:left="112" w:right="108"/>
        <w:jc w:val="both"/>
      </w:pPr>
      <w:r>
        <w:rPr>
          <w:color w:val="231F20"/>
          <w:w w:val="95"/>
        </w:rPr>
        <w:t>Zeta potential is used to determine the physical stability of </w:t>
      </w:r>
      <w:r>
        <w:rPr>
          <w:color w:val="231F20"/>
          <w:w w:val="85"/>
        </w:rPr>
        <w:t>nanoparticles.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It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is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measure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particle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surface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charge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an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indirect </w:t>
      </w:r>
      <w:r>
        <w:rPr>
          <w:color w:val="231F20"/>
          <w:w w:val="90"/>
        </w:rPr>
        <w:t>measurement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thickness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diffusion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layer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[12].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It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usually used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as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an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indicator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predict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long-term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stability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pharmaceutical </w:t>
      </w:r>
      <w:r>
        <w:rPr>
          <w:color w:val="231F20"/>
          <w:w w:val="95"/>
        </w:rPr>
        <w:t>formulations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[18].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High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values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zeta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potential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correlate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with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 </w:t>
      </w:r>
      <w:r>
        <w:rPr>
          <w:color w:val="231F20"/>
          <w:w w:val="85"/>
        </w:rPr>
        <w:t>lesser tendency to aggregate or flocculate and are indicative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colloidal </w:t>
      </w:r>
      <w:r>
        <w:rPr>
          <w:color w:val="231F20"/>
          <w:w w:val="90"/>
        </w:rPr>
        <w:t>stability of the nanoformulation [21]. Studies have reported that </w:t>
      </w:r>
      <w:r>
        <w:rPr>
          <w:color w:val="231F20"/>
          <w:w w:val="85"/>
        </w:rPr>
        <w:t>electrostatically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stable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nanoformulations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should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have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6"/>
          <w:w w:val="85"/>
        </w:rPr>
        <w:t> </w:t>
      </w:r>
      <w:r>
        <w:rPr>
          <w:color w:val="231F20"/>
          <w:w w:val="85"/>
        </w:rPr>
        <w:t>minimum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zeta </w:t>
      </w:r>
      <w:r>
        <w:rPr>
          <w:color w:val="231F20"/>
          <w:w w:val="90"/>
        </w:rPr>
        <w:t>potential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±30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[10,19].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It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evident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from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results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given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-25"/>
          <w:w w:val="90"/>
        </w:rPr>
        <w:t> </w:t>
      </w:r>
      <w:r>
        <w:rPr>
          <w:color w:val="231F20"/>
          <w:spacing w:val="-4"/>
          <w:w w:val="90"/>
        </w:rPr>
        <w:t>Table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2 </w:t>
      </w:r>
      <w:r>
        <w:rPr>
          <w:color w:val="231F20"/>
          <w:w w:val="95"/>
        </w:rPr>
        <w:t>that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all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prepared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formulations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showed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good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stability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seen </w:t>
      </w:r>
      <w:r>
        <w:rPr>
          <w:color w:val="231F20"/>
          <w:w w:val="90"/>
        </w:rPr>
        <w:t>from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high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values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zeta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potential.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This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was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expected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as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similar other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researches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using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PVP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as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an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emulsifier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reported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high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values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of </w:t>
      </w:r>
      <w:r>
        <w:rPr>
          <w:color w:val="231F20"/>
          <w:w w:val="85"/>
        </w:rPr>
        <w:t>negative zeta potential [12]. Nada </w:t>
      </w:r>
      <w:r>
        <w:rPr>
          <w:rFonts w:ascii="Times New Roman" w:hAnsi="Times New Roman"/>
          <w:i/>
          <w:color w:val="231F20"/>
          <w:w w:val="85"/>
        </w:rPr>
        <w:t>et al</w:t>
      </w:r>
      <w:r>
        <w:rPr>
          <w:color w:val="231F20"/>
          <w:w w:val="85"/>
        </w:rPr>
        <w:t>. prepared several formulations </w:t>
      </w:r>
      <w:r>
        <w:rPr>
          <w:color w:val="231F20"/>
          <w:w w:val="90"/>
        </w:rPr>
        <w:t>of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IBU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loaded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nanoparticles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nanosuspensions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using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PVP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as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the </w:t>
      </w:r>
      <w:r>
        <w:rPr>
          <w:color w:val="231F20"/>
          <w:w w:val="85"/>
        </w:rPr>
        <w:t>emulsifier and obtained zeta potential values of between 39.2+0.976 </w:t>
      </w:r>
      <w:r>
        <w:rPr>
          <w:color w:val="231F20"/>
          <w:w w:val="95"/>
        </w:rPr>
        <w:t>and 58.9+0.503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[12].</w:t>
      </w:r>
    </w:p>
    <w:p>
      <w:pPr>
        <w:spacing w:after="0" w:line="259" w:lineRule="auto"/>
        <w:jc w:val="both"/>
        <w:sectPr>
          <w:type w:val="continuous"/>
          <w:pgSz w:w="11910" w:h="16840"/>
          <w:pgMar w:top="140" w:bottom="280" w:left="800" w:right="800"/>
          <w:cols w:num="2" w:equalWidth="0">
            <w:col w:w="4978" w:space="283"/>
            <w:col w:w="5049"/>
          </w:cols>
        </w:sectPr>
      </w:pPr>
    </w:p>
    <w:p>
      <w:pPr>
        <w:pStyle w:val="BodyText"/>
        <w:spacing w:before="9"/>
        <w:rPr>
          <w:sz w:val="12"/>
        </w:rPr>
      </w:pPr>
    </w:p>
    <w:p>
      <w:pPr>
        <w:pStyle w:val="Heading2"/>
        <w:spacing w:before="100"/>
        <w:ind w:left="209" w:right="208"/>
        <w:jc w:val="center"/>
      </w:pPr>
      <w:r>
        <w:rPr>
          <w:color w:val="231F20"/>
        </w:rPr>
        <w:t>Table 2: Preliminary characterization of loaded and unloaded nanoparticles</w:t>
      </w:r>
    </w:p>
    <w:p>
      <w:pPr>
        <w:pStyle w:val="BodyText"/>
        <w:spacing w:before="7"/>
        <w:rPr>
          <w:rFonts w:ascii="Caladea"/>
          <w:b/>
          <w:sz w:val="10"/>
        </w:rPr>
      </w:pPr>
    </w:p>
    <w:tbl>
      <w:tblPr>
        <w:tblW w:w="0" w:type="auto"/>
        <w:jc w:val="left"/>
        <w:tblInd w:w="1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2"/>
        <w:gridCol w:w="1373"/>
        <w:gridCol w:w="1103"/>
        <w:gridCol w:w="1328"/>
        <w:gridCol w:w="1251"/>
        <w:gridCol w:w="1290"/>
        <w:gridCol w:w="2404"/>
      </w:tblGrid>
      <w:tr>
        <w:trPr>
          <w:trHeight w:val="289" w:hRule="atLeast"/>
        </w:trPr>
        <w:tc>
          <w:tcPr>
            <w:tcW w:w="1332" w:type="dxa"/>
            <w:tcBorders>
              <w:top w:val="single" w:sz="8" w:space="0" w:color="231F20"/>
              <w:bottom w:val="single" w:sz="4" w:space="0" w:color="231F20"/>
            </w:tcBorders>
          </w:tcPr>
          <w:p>
            <w:pPr>
              <w:pStyle w:val="TableParagraph"/>
              <w:spacing w:before="62"/>
              <w:rPr>
                <w:rFonts w:ascii="Caladea"/>
                <w:b/>
                <w:sz w:val="16"/>
              </w:rPr>
            </w:pPr>
            <w:r>
              <w:rPr>
                <w:rFonts w:ascii="Caladea"/>
                <w:b/>
                <w:color w:val="231F20"/>
                <w:sz w:val="16"/>
              </w:rPr>
              <w:t>Formulation</w:t>
            </w:r>
          </w:p>
        </w:tc>
        <w:tc>
          <w:tcPr>
            <w:tcW w:w="1373" w:type="dxa"/>
            <w:tcBorders>
              <w:top w:val="single" w:sz="8" w:space="0" w:color="231F20"/>
              <w:bottom w:val="single" w:sz="4" w:space="0" w:color="231F20"/>
            </w:tcBorders>
          </w:tcPr>
          <w:p>
            <w:pPr>
              <w:pStyle w:val="TableParagraph"/>
              <w:spacing w:before="62"/>
              <w:ind w:left="357"/>
              <w:rPr>
                <w:rFonts w:ascii="Caladea"/>
                <w:b/>
                <w:sz w:val="16"/>
              </w:rPr>
            </w:pPr>
            <w:r>
              <w:rPr>
                <w:rFonts w:ascii="Caladea"/>
                <w:b/>
                <w:color w:val="231F20"/>
                <w:sz w:val="16"/>
              </w:rPr>
              <w:t>PS* (nm)</w:t>
            </w:r>
          </w:p>
        </w:tc>
        <w:tc>
          <w:tcPr>
            <w:tcW w:w="1103" w:type="dxa"/>
            <w:tcBorders>
              <w:top w:val="single" w:sz="8" w:space="0" w:color="231F20"/>
              <w:bottom w:val="single" w:sz="4" w:space="0" w:color="231F20"/>
            </w:tcBorders>
          </w:tcPr>
          <w:p>
            <w:pPr>
              <w:pStyle w:val="TableParagraph"/>
              <w:spacing w:before="62"/>
              <w:ind w:left="357"/>
              <w:rPr>
                <w:rFonts w:ascii="Caladea"/>
                <w:b/>
                <w:sz w:val="16"/>
              </w:rPr>
            </w:pPr>
            <w:r>
              <w:rPr>
                <w:rFonts w:ascii="Caladea"/>
                <w:b/>
                <w:color w:val="231F20"/>
                <w:sz w:val="16"/>
              </w:rPr>
              <w:t>PDI*</w:t>
            </w:r>
          </w:p>
        </w:tc>
        <w:tc>
          <w:tcPr>
            <w:tcW w:w="1328" w:type="dxa"/>
            <w:tcBorders>
              <w:top w:val="single" w:sz="8" w:space="0" w:color="231F20"/>
              <w:bottom w:val="single" w:sz="4" w:space="0" w:color="231F20"/>
            </w:tcBorders>
          </w:tcPr>
          <w:p>
            <w:pPr>
              <w:pStyle w:val="TableParagraph"/>
              <w:spacing w:before="62"/>
              <w:ind w:left="358"/>
              <w:rPr>
                <w:rFonts w:ascii="Caladea"/>
                <w:b/>
                <w:sz w:val="16"/>
              </w:rPr>
            </w:pPr>
            <w:r>
              <w:rPr>
                <w:rFonts w:ascii="Caladea"/>
                <w:b/>
                <w:color w:val="231F20"/>
                <w:sz w:val="16"/>
              </w:rPr>
              <w:t>ZP (mV)</w:t>
            </w:r>
          </w:p>
        </w:tc>
        <w:tc>
          <w:tcPr>
            <w:tcW w:w="1251" w:type="dxa"/>
            <w:tcBorders>
              <w:top w:val="single" w:sz="8" w:space="0" w:color="231F20"/>
              <w:bottom w:val="single" w:sz="4" w:space="0" w:color="231F20"/>
            </w:tcBorders>
          </w:tcPr>
          <w:p>
            <w:pPr>
              <w:pStyle w:val="TableParagraph"/>
              <w:spacing w:before="62"/>
              <w:ind w:left="371"/>
              <w:rPr>
                <w:rFonts w:ascii="Caladea"/>
                <w:b/>
                <w:sz w:val="16"/>
              </w:rPr>
            </w:pPr>
            <w:r>
              <w:rPr>
                <w:rFonts w:ascii="Caladea"/>
                <w:b/>
                <w:color w:val="231F20"/>
                <w:sz w:val="16"/>
              </w:rPr>
              <w:t>EE (%)</w:t>
            </w:r>
          </w:p>
        </w:tc>
        <w:tc>
          <w:tcPr>
            <w:tcW w:w="1290" w:type="dxa"/>
            <w:tcBorders>
              <w:top w:val="single" w:sz="8" w:space="0" w:color="231F20"/>
              <w:bottom w:val="single" w:sz="4" w:space="0" w:color="231F20"/>
            </w:tcBorders>
          </w:tcPr>
          <w:p>
            <w:pPr>
              <w:pStyle w:val="TableParagraph"/>
              <w:spacing w:before="62"/>
              <w:ind w:left="373"/>
              <w:rPr>
                <w:rFonts w:ascii="Caladea"/>
                <w:b/>
                <w:sz w:val="16"/>
              </w:rPr>
            </w:pPr>
            <w:r>
              <w:rPr>
                <w:rFonts w:ascii="Caladea"/>
                <w:b/>
                <w:color w:val="231F20"/>
                <w:sz w:val="16"/>
              </w:rPr>
              <w:t>DL (%)</w:t>
            </w:r>
          </w:p>
        </w:tc>
        <w:tc>
          <w:tcPr>
            <w:tcW w:w="2404" w:type="dxa"/>
            <w:tcBorders>
              <w:top w:val="single" w:sz="8" w:space="0" w:color="231F20"/>
              <w:bottom w:val="single" w:sz="4" w:space="0" w:color="231F20"/>
            </w:tcBorders>
          </w:tcPr>
          <w:p>
            <w:pPr>
              <w:pStyle w:val="TableParagraph"/>
              <w:spacing w:before="62"/>
              <w:ind w:left="395"/>
              <w:rPr>
                <w:rFonts w:ascii="Caladea"/>
                <w:b/>
                <w:sz w:val="16"/>
              </w:rPr>
            </w:pPr>
            <w:r>
              <w:rPr>
                <w:rFonts w:ascii="Caladea"/>
                <w:b/>
                <w:color w:val="231F20"/>
                <w:sz w:val="16"/>
              </w:rPr>
              <w:t>Yield (%)</w:t>
            </w:r>
          </w:p>
        </w:tc>
      </w:tr>
      <w:tr>
        <w:trPr>
          <w:trHeight w:val="213" w:hRule="atLeast"/>
        </w:trPr>
        <w:tc>
          <w:tcPr>
            <w:tcW w:w="1332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163" w:lineRule="exact" w:before="31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F1</w:t>
            </w:r>
          </w:p>
        </w:tc>
        <w:tc>
          <w:tcPr>
            <w:tcW w:w="1373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163" w:lineRule="exact" w:before="31"/>
              <w:ind w:left="35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136.40</w:t>
            </w:r>
          </w:p>
        </w:tc>
        <w:tc>
          <w:tcPr>
            <w:tcW w:w="1103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163" w:lineRule="exact" w:before="31"/>
              <w:ind w:left="35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0.304</w:t>
            </w:r>
          </w:p>
        </w:tc>
        <w:tc>
          <w:tcPr>
            <w:tcW w:w="1328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163" w:lineRule="exact" w:before="31"/>
              <w:ind w:left="358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−36.8</w:t>
            </w:r>
          </w:p>
        </w:tc>
        <w:tc>
          <w:tcPr>
            <w:tcW w:w="1251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166" w:lineRule="exact" w:before="27"/>
              <w:ind w:left="371"/>
              <w:rPr>
                <w:rFonts w:ascii="Caladea"/>
                <w:b/>
                <w:sz w:val="16"/>
              </w:rPr>
            </w:pPr>
            <w:r>
              <w:rPr>
                <w:rFonts w:ascii="Caladea"/>
                <w:b/>
                <w:color w:val="231F20"/>
                <w:w w:val="99"/>
                <w:sz w:val="16"/>
              </w:rPr>
              <w:t>-</w:t>
            </w:r>
          </w:p>
        </w:tc>
        <w:tc>
          <w:tcPr>
            <w:tcW w:w="1290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166" w:lineRule="exact" w:before="27"/>
              <w:ind w:left="373"/>
              <w:rPr>
                <w:rFonts w:ascii="Caladea"/>
                <w:b/>
                <w:sz w:val="16"/>
              </w:rPr>
            </w:pPr>
            <w:r>
              <w:rPr>
                <w:rFonts w:ascii="Caladea"/>
                <w:b/>
                <w:color w:val="231F20"/>
                <w:w w:val="99"/>
                <w:sz w:val="16"/>
              </w:rPr>
              <w:t>-</w:t>
            </w:r>
          </w:p>
        </w:tc>
        <w:tc>
          <w:tcPr>
            <w:tcW w:w="2404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166" w:lineRule="exact" w:before="27"/>
              <w:ind w:left="395"/>
              <w:rPr>
                <w:rFonts w:ascii="Caladea"/>
                <w:b/>
                <w:sz w:val="16"/>
              </w:rPr>
            </w:pPr>
            <w:r>
              <w:rPr>
                <w:rFonts w:ascii="Caladea"/>
                <w:b/>
                <w:color w:val="231F20"/>
                <w:w w:val="99"/>
                <w:sz w:val="16"/>
              </w:rPr>
              <w:t>-</w:t>
            </w:r>
          </w:p>
        </w:tc>
      </w:tr>
      <w:tr>
        <w:trPr>
          <w:trHeight w:val="184" w:hRule="atLeast"/>
        </w:trPr>
        <w:tc>
          <w:tcPr>
            <w:tcW w:w="1332" w:type="dxa"/>
          </w:tcPr>
          <w:p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F2</w:t>
            </w:r>
          </w:p>
        </w:tc>
        <w:tc>
          <w:tcPr>
            <w:tcW w:w="1373" w:type="dxa"/>
          </w:tcPr>
          <w:p>
            <w:pPr>
              <w:pStyle w:val="TableParagraph"/>
              <w:spacing w:line="162" w:lineRule="exact"/>
              <w:ind w:left="35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81.62</w:t>
            </w:r>
          </w:p>
        </w:tc>
        <w:tc>
          <w:tcPr>
            <w:tcW w:w="1103" w:type="dxa"/>
          </w:tcPr>
          <w:p>
            <w:pPr>
              <w:pStyle w:val="TableParagraph"/>
              <w:spacing w:line="162" w:lineRule="exact"/>
              <w:ind w:left="35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0.279</w:t>
            </w:r>
          </w:p>
        </w:tc>
        <w:tc>
          <w:tcPr>
            <w:tcW w:w="1328" w:type="dxa"/>
          </w:tcPr>
          <w:p>
            <w:pPr>
              <w:pStyle w:val="TableParagraph"/>
              <w:spacing w:line="162" w:lineRule="exact"/>
              <w:ind w:left="358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−43.6</w:t>
            </w:r>
          </w:p>
        </w:tc>
        <w:tc>
          <w:tcPr>
            <w:tcW w:w="1251" w:type="dxa"/>
          </w:tcPr>
          <w:p>
            <w:pPr>
              <w:pStyle w:val="TableParagraph"/>
              <w:spacing w:line="162" w:lineRule="exact"/>
              <w:ind w:left="371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93.98</w:t>
            </w:r>
          </w:p>
        </w:tc>
        <w:tc>
          <w:tcPr>
            <w:tcW w:w="1290" w:type="dxa"/>
          </w:tcPr>
          <w:p>
            <w:pPr>
              <w:pStyle w:val="TableParagraph"/>
              <w:spacing w:line="162" w:lineRule="exact"/>
              <w:ind w:left="373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4.01</w:t>
            </w:r>
          </w:p>
        </w:tc>
        <w:tc>
          <w:tcPr>
            <w:tcW w:w="2404" w:type="dxa"/>
          </w:tcPr>
          <w:p>
            <w:pPr>
              <w:pStyle w:val="TableParagraph"/>
              <w:spacing w:line="162" w:lineRule="exact"/>
              <w:ind w:left="395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(1173 mg) 73.31</w:t>
            </w:r>
          </w:p>
        </w:tc>
      </w:tr>
      <w:tr>
        <w:trPr>
          <w:trHeight w:val="184" w:hRule="atLeast"/>
        </w:trPr>
        <w:tc>
          <w:tcPr>
            <w:tcW w:w="1332" w:type="dxa"/>
          </w:tcPr>
          <w:p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F3</w:t>
            </w:r>
          </w:p>
        </w:tc>
        <w:tc>
          <w:tcPr>
            <w:tcW w:w="1373" w:type="dxa"/>
          </w:tcPr>
          <w:p>
            <w:pPr>
              <w:pStyle w:val="TableParagraph"/>
              <w:spacing w:line="163" w:lineRule="exact"/>
              <w:ind w:left="35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76.40</w:t>
            </w:r>
          </w:p>
        </w:tc>
        <w:tc>
          <w:tcPr>
            <w:tcW w:w="1103" w:type="dxa"/>
          </w:tcPr>
          <w:p>
            <w:pPr>
              <w:pStyle w:val="TableParagraph"/>
              <w:spacing w:line="163" w:lineRule="exact"/>
              <w:ind w:left="35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0.275</w:t>
            </w:r>
          </w:p>
        </w:tc>
        <w:tc>
          <w:tcPr>
            <w:tcW w:w="1328" w:type="dxa"/>
          </w:tcPr>
          <w:p>
            <w:pPr>
              <w:pStyle w:val="TableParagraph"/>
              <w:spacing w:line="163" w:lineRule="exact"/>
              <w:ind w:left="358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−41.3</w:t>
            </w:r>
          </w:p>
        </w:tc>
        <w:tc>
          <w:tcPr>
            <w:tcW w:w="1251" w:type="dxa"/>
          </w:tcPr>
          <w:p>
            <w:pPr>
              <w:pStyle w:val="TableParagraph"/>
              <w:spacing w:line="163" w:lineRule="exact"/>
              <w:ind w:left="371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99.73</w:t>
            </w:r>
          </w:p>
        </w:tc>
        <w:tc>
          <w:tcPr>
            <w:tcW w:w="1290" w:type="dxa"/>
          </w:tcPr>
          <w:p>
            <w:pPr>
              <w:pStyle w:val="TableParagraph"/>
              <w:spacing w:line="163" w:lineRule="exact"/>
              <w:ind w:left="373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2.31</w:t>
            </w:r>
          </w:p>
        </w:tc>
        <w:tc>
          <w:tcPr>
            <w:tcW w:w="2404" w:type="dxa"/>
          </w:tcPr>
          <w:p>
            <w:pPr>
              <w:pStyle w:val="TableParagraph"/>
              <w:spacing w:line="163" w:lineRule="exact"/>
              <w:ind w:left="395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(2153 mg) 69.45</w:t>
            </w:r>
          </w:p>
        </w:tc>
      </w:tr>
      <w:tr>
        <w:trPr>
          <w:trHeight w:val="220" w:hRule="atLeast"/>
        </w:trPr>
        <w:tc>
          <w:tcPr>
            <w:tcW w:w="1332" w:type="dxa"/>
            <w:tcBorders>
              <w:bottom w:val="single" w:sz="8" w:space="0" w:color="231F2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Placebo</w:t>
            </w:r>
          </w:p>
        </w:tc>
        <w:tc>
          <w:tcPr>
            <w:tcW w:w="1373" w:type="dxa"/>
            <w:tcBorders>
              <w:bottom w:val="single" w:sz="8" w:space="0" w:color="231F20"/>
            </w:tcBorders>
          </w:tcPr>
          <w:p>
            <w:pPr>
              <w:pStyle w:val="TableParagraph"/>
              <w:ind w:left="35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70.58</w:t>
            </w:r>
          </w:p>
        </w:tc>
        <w:tc>
          <w:tcPr>
            <w:tcW w:w="1103" w:type="dxa"/>
            <w:tcBorders>
              <w:bottom w:val="single" w:sz="8" w:space="0" w:color="231F20"/>
            </w:tcBorders>
          </w:tcPr>
          <w:p>
            <w:pPr>
              <w:pStyle w:val="TableParagraph"/>
              <w:ind w:left="35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0.257</w:t>
            </w:r>
          </w:p>
        </w:tc>
        <w:tc>
          <w:tcPr>
            <w:tcW w:w="1328" w:type="dxa"/>
            <w:tcBorders>
              <w:bottom w:val="single" w:sz="8" w:space="0" w:color="231F20"/>
            </w:tcBorders>
          </w:tcPr>
          <w:p>
            <w:pPr>
              <w:pStyle w:val="TableParagraph"/>
              <w:ind w:left="358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−42.5</w:t>
            </w:r>
          </w:p>
        </w:tc>
        <w:tc>
          <w:tcPr>
            <w:tcW w:w="1251" w:type="dxa"/>
            <w:tcBorders>
              <w:bottom w:val="single" w:sz="8" w:space="0" w:color="231F20"/>
            </w:tcBorders>
          </w:tcPr>
          <w:p>
            <w:pPr>
              <w:pStyle w:val="TableParagraph"/>
              <w:spacing w:line="186" w:lineRule="exact" w:before="0"/>
              <w:ind w:left="371"/>
              <w:rPr>
                <w:rFonts w:ascii="Caladea"/>
                <w:b/>
                <w:sz w:val="16"/>
              </w:rPr>
            </w:pPr>
            <w:r>
              <w:rPr>
                <w:rFonts w:ascii="Caladea"/>
                <w:b/>
                <w:color w:val="231F20"/>
                <w:w w:val="99"/>
                <w:sz w:val="16"/>
              </w:rPr>
              <w:t>-</w:t>
            </w:r>
          </w:p>
        </w:tc>
        <w:tc>
          <w:tcPr>
            <w:tcW w:w="1290" w:type="dxa"/>
            <w:tcBorders>
              <w:bottom w:val="single" w:sz="8" w:space="0" w:color="231F20"/>
            </w:tcBorders>
          </w:tcPr>
          <w:p>
            <w:pPr>
              <w:pStyle w:val="TableParagraph"/>
              <w:spacing w:line="186" w:lineRule="exact" w:before="0"/>
              <w:ind w:left="373"/>
              <w:rPr>
                <w:rFonts w:ascii="Caladea"/>
                <w:b/>
                <w:sz w:val="16"/>
              </w:rPr>
            </w:pPr>
            <w:r>
              <w:rPr>
                <w:rFonts w:ascii="Caladea"/>
                <w:b/>
                <w:color w:val="231F20"/>
                <w:w w:val="99"/>
                <w:sz w:val="16"/>
              </w:rPr>
              <w:t>-</w:t>
            </w:r>
          </w:p>
        </w:tc>
        <w:tc>
          <w:tcPr>
            <w:tcW w:w="2404" w:type="dxa"/>
            <w:tcBorders>
              <w:bottom w:val="single" w:sz="8" w:space="0" w:color="231F20"/>
            </w:tcBorders>
          </w:tcPr>
          <w:p>
            <w:pPr>
              <w:pStyle w:val="TableParagraph"/>
              <w:ind w:left="395"/>
              <w:rPr>
                <w:sz w:val="16"/>
              </w:rPr>
            </w:pPr>
            <w:r>
              <w:rPr>
                <w:color w:val="231F20"/>
                <w:w w:val="98"/>
                <w:sz w:val="16"/>
              </w:rPr>
              <w:t>-</w:t>
            </w:r>
          </w:p>
        </w:tc>
      </w:tr>
    </w:tbl>
    <w:p>
      <w:pPr>
        <w:spacing w:before="19"/>
        <w:ind w:left="172" w:right="0" w:firstLine="0"/>
        <w:jc w:val="left"/>
        <w:rPr>
          <w:sz w:val="14"/>
        </w:rPr>
      </w:pPr>
      <w:r>
        <w:rPr>
          <w:color w:val="231F20"/>
          <w:w w:val="95"/>
          <w:sz w:val="14"/>
        </w:rPr>
        <w:t>PS: Particle size, PDI: Polydispersity index, ZP: Zeta potential, EE: Encapsulation efficiency, DL: Drug loading</w:t>
      </w:r>
    </w:p>
    <w:p>
      <w:pPr>
        <w:spacing w:after="0"/>
        <w:jc w:val="left"/>
        <w:rPr>
          <w:sz w:val="14"/>
        </w:rPr>
        <w:sectPr>
          <w:type w:val="continuous"/>
          <w:pgSz w:w="11910" w:h="16840"/>
          <w:pgMar w:top="140" w:bottom="280" w:left="800" w:right="800"/>
        </w:sectPr>
      </w:pPr>
    </w:p>
    <w:p>
      <w:pPr>
        <w:pStyle w:val="BodyText"/>
        <w:spacing w:before="8"/>
        <w:rPr>
          <w:sz w:val="19"/>
        </w:rPr>
      </w:pPr>
    </w:p>
    <w:p>
      <w:pPr>
        <w:spacing w:after="0"/>
        <w:rPr>
          <w:sz w:val="19"/>
        </w:rPr>
        <w:sectPr>
          <w:pgSz w:w="11910" w:h="16840"/>
          <w:pgMar w:header="695" w:footer="952" w:top="1080" w:bottom="1140" w:left="800" w:right="800"/>
        </w:sectPr>
      </w:pPr>
    </w:p>
    <w:p>
      <w:pPr>
        <w:pStyle w:val="Heading2"/>
        <w:spacing w:before="100"/>
        <w:jc w:val="both"/>
      </w:pPr>
      <w:r>
        <w:rPr>
          <w:color w:val="231F20"/>
        </w:rPr>
        <w:t>EE and DL</w:t>
      </w:r>
    </w:p>
    <w:p>
      <w:pPr>
        <w:pStyle w:val="BodyText"/>
        <w:spacing w:line="256" w:lineRule="auto" w:before="16"/>
        <w:ind w:left="112" w:right="38"/>
        <w:jc w:val="both"/>
      </w:pPr>
      <w:r>
        <w:rPr>
          <w:color w:val="231F20"/>
          <w:w w:val="90"/>
        </w:rPr>
        <w:t>EE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percentage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drug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entrapped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inside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nanocarrier relative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total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amount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drug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added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formulation.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On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the other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hand,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DL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defined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as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percentage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drug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entrapped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in </w:t>
      </w:r>
      <w:r>
        <w:rPr>
          <w:color w:val="231F20"/>
          <w:w w:val="85"/>
        </w:rPr>
        <w:t>relation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to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total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amount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drug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added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all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other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excipients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[22]. </w:t>
      </w:r>
      <w:r>
        <w:rPr>
          <w:color w:val="231F20"/>
          <w:w w:val="90"/>
        </w:rPr>
        <w:t>A</w:t>
      </w:r>
      <w:r>
        <w:rPr>
          <w:color w:val="231F20"/>
          <w:spacing w:val="-32"/>
          <w:w w:val="90"/>
        </w:rPr>
        <w:t> </w:t>
      </w:r>
      <w:r>
        <w:rPr>
          <w:color w:val="231F20"/>
          <w:w w:val="90"/>
        </w:rPr>
        <w:t>good</w:t>
      </w:r>
      <w:r>
        <w:rPr>
          <w:color w:val="231F20"/>
          <w:spacing w:val="-32"/>
          <w:w w:val="90"/>
        </w:rPr>
        <w:t> </w:t>
      </w:r>
      <w:r>
        <w:rPr>
          <w:color w:val="231F20"/>
          <w:w w:val="90"/>
        </w:rPr>
        <w:t>formulation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should</w:t>
      </w:r>
      <w:r>
        <w:rPr>
          <w:color w:val="231F20"/>
          <w:spacing w:val="-32"/>
          <w:w w:val="90"/>
        </w:rPr>
        <w:t> </w:t>
      </w:r>
      <w:r>
        <w:rPr>
          <w:color w:val="231F20"/>
          <w:w w:val="90"/>
        </w:rPr>
        <w:t>strike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32"/>
          <w:w w:val="90"/>
        </w:rPr>
        <w:t> </w:t>
      </w:r>
      <w:r>
        <w:rPr>
          <w:color w:val="231F20"/>
          <w:w w:val="90"/>
        </w:rPr>
        <w:t>balance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between</w:t>
      </w:r>
      <w:r>
        <w:rPr>
          <w:color w:val="231F20"/>
          <w:spacing w:val="-32"/>
          <w:w w:val="90"/>
        </w:rPr>
        <w:t> </w:t>
      </w:r>
      <w:r>
        <w:rPr>
          <w:color w:val="231F20"/>
          <w:w w:val="90"/>
        </w:rPr>
        <w:t>EE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32"/>
          <w:w w:val="90"/>
        </w:rPr>
        <w:t> </w:t>
      </w:r>
      <w:r>
        <w:rPr>
          <w:color w:val="231F20"/>
          <w:w w:val="90"/>
        </w:rPr>
        <w:t>DL.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There </w:t>
      </w:r>
      <w:r>
        <w:rPr>
          <w:color w:val="231F20"/>
          <w:w w:val="85"/>
        </w:rPr>
        <w:t>should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be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high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EE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relatively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high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DL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capacity.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From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data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shown in</w:t>
      </w:r>
      <w:r>
        <w:rPr>
          <w:color w:val="231F20"/>
          <w:spacing w:val="-17"/>
          <w:w w:val="85"/>
        </w:rPr>
        <w:t> </w:t>
      </w:r>
      <w:r>
        <w:rPr>
          <w:color w:val="231F20"/>
          <w:spacing w:val="-4"/>
          <w:w w:val="85"/>
        </w:rPr>
        <w:t>Table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2,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in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formulation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F2,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approximately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6%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IBU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was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detected </w:t>
      </w:r>
      <w:r>
        <w:rPr>
          <w:color w:val="231F20"/>
          <w:w w:val="90"/>
        </w:rPr>
        <w:t>by</w:t>
      </w:r>
      <w:r>
        <w:rPr>
          <w:color w:val="231F20"/>
          <w:spacing w:val="-29"/>
          <w:w w:val="90"/>
        </w:rPr>
        <w:t> </w:t>
      </w:r>
      <w:r>
        <w:rPr>
          <w:color w:val="231F20"/>
          <w:spacing w:val="-3"/>
          <w:w w:val="90"/>
        </w:rPr>
        <w:t>UV-vis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as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un-encapsulated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thus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93.98%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EE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while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F3 formulation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> </w:t>
      </w:r>
      <w:r>
        <w:rPr>
          <w:color w:val="231F20"/>
          <w:spacing w:val="-3"/>
          <w:w w:val="90"/>
        </w:rPr>
        <w:t>UV-vis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could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only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detect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traces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IBU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corresponding </w:t>
      </w:r>
      <w:r>
        <w:rPr>
          <w:color w:val="231F20"/>
          <w:w w:val="95"/>
        </w:rPr>
        <w:t>to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&lt;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1%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thus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99.73%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EE.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This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could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be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attributed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the </w:t>
      </w:r>
      <w:r>
        <w:rPr>
          <w:color w:val="231F20"/>
          <w:w w:val="90"/>
        </w:rPr>
        <w:t>increase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external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phase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F3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which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gives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room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complete encapsulation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drug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substance.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two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formulations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generally exhibited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high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EE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this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can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attributed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poor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solubility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of IBU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6"/>
          <w:w w:val="90"/>
        </w:rPr>
        <w:t>PVP.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Previous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studies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have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shown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effectiveness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using </w:t>
      </w:r>
      <w:r>
        <w:rPr>
          <w:color w:val="231F20"/>
          <w:w w:val="85"/>
        </w:rPr>
        <w:t>water-soluble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surfactants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for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formulating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small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size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nanoparticles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with high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entrapment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efficiency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for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poorly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water-soluble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drugs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[23].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DL capacity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F2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F3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was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4.01%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3.21%,</w:t>
      </w:r>
      <w:r>
        <w:rPr>
          <w:color w:val="231F20"/>
          <w:spacing w:val="-10"/>
          <w:w w:val="85"/>
        </w:rPr>
        <w:t> </w:t>
      </w:r>
      <w:r>
        <w:rPr>
          <w:color w:val="231F20"/>
          <w:spacing w:val="-3"/>
          <w:w w:val="85"/>
        </w:rPr>
        <w:t>respectively.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These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values </w:t>
      </w:r>
      <w:r>
        <w:rPr>
          <w:color w:val="231F20"/>
          <w:w w:val="90"/>
        </w:rPr>
        <w:t>were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expected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as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amounts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excipients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added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were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much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more </w:t>
      </w:r>
      <w:r>
        <w:rPr>
          <w:color w:val="231F20"/>
          <w:w w:val="95"/>
        </w:rPr>
        <w:t>compared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drug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formulations.</w:t>
      </w:r>
    </w:p>
    <w:p>
      <w:pPr>
        <w:pStyle w:val="BodyText"/>
        <w:spacing w:before="2"/>
        <w:rPr>
          <w:sz w:val="17"/>
        </w:rPr>
      </w:pPr>
    </w:p>
    <w:p>
      <w:pPr>
        <w:pStyle w:val="Heading2"/>
        <w:jc w:val="both"/>
      </w:pPr>
      <w:r>
        <w:rPr>
          <w:color w:val="231F20"/>
        </w:rPr>
        <w:t>FTIR analysis</w:t>
      </w:r>
    </w:p>
    <w:p>
      <w:pPr>
        <w:pStyle w:val="BodyText"/>
        <w:spacing w:line="256" w:lineRule="auto" w:before="16"/>
        <w:ind w:left="112" w:right="38"/>
        <w:jc w:val="both"/>
      </w:pPr>
      <w:r>
        <w:rPr>
          <w:color w:val="231F20"/>
          <w:w w:val="90"/>
        </w:rPr>
        <w:t>FTIR spectroscopy was used to obtain conformational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information about the IBU loaded SLNs. The interaction between IBU and SA which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carrier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matrix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surfactant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was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monitored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by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the use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FTIR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(Fig.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3).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intense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peaks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appearing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spectra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of IBU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PVP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are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due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asymmetric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stretching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vibrations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their </w:t>
      </w:r>
      <w:r>
        <w:rPr>
          <w:color w:val="231F20"/>
          <w:w w:val="85"/>
        </w:rPr>
        <w:t>functional groups. The spectrum of IBU shows a well-defined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infrared </w:t>
      </w:r>
      <w:r>
        <w:rPr>
          <w:color w:val="231F20"/>
          <w:w w:val="90"/>
        </w:rPr>
        <w:t>band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around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1680–1750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cm</w:t>
      </w:r>
      <w:r>
        <w:rPr>
          <w:color w:val="231F20"/>
          <w:w w:val="90"/>
          <w:position w:val="5"/>
          <w:sz w:val="9"/>
        </w:rPr>
        <w:t>−1</w:t>
      </w:r>
      <w:r>
        <w:rPr>
          <w:color w:val="231F20"/>
          <w:w w:val="90"/>
        </w:rPr>
        <w:t>,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which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characteristic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peak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the carbonyl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stretching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isopropanoic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acid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group.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There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are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also peaks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between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2900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3000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cm</w:t>
      </w:r>
      <w:r>
        <w:rPr>
          <w:color w:val="231F20"/>
          <w:w w:val="90"/>
          <w:position w:val="5"/>
          <w:sz w:val="9"/>
        </w:rPr>
        <w:t>−1</w:t>
      </w:r>
      <w:r>
        <w:rPr>
          <w:color w:val="231F20"/>
          <w:spacing w:val="1"/>
          <w:w w:val="90"/>
          <w:position w:val="5"/>
          <w:sz w:val="9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around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3000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3100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cm</w:t>
      </w:r>
      <w:r>
        <w:rPr>
          <w:color w:val="231F20"/>
          <w:w w:val="90"/>
          <w:position w:val="5"/>
          <w:sz w:val="9"/>
        </w:rPr>
        <w:t>−1 </w:t>
      </w:r>
      <w:r>
        <w:rPr>
          <w:color w:val="231F20"/>
          <w:w w:val="85"/>
        </w:rPr>
        <w:t>which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are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characteristic</w:t>
      </w:r>
      <w:r>
        <w:rPr>
          <w:color w:val="231F20"/>
          <w:spacing w:val="-6"/>
          <w:w w:val="85"/>
        </w:rPr>
        <w:t> </w:t>
      </w:r>
      <w:r>
        <w:rPr>
          <w:color w:val="231F20"/>
          <w:w w:val="85"/>
        </w:rPr>
        <w:t>peaks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for</w:t>
      </w:r>
      <w:r>
        <w:rPr>
          <w:color w:val="231F20"/>
          <w:spacing w:val="-6"/>
          <w:w w:val="85"/>
        </w:rPr>
        <w:t> </w:t>
      </w:r>
      <w:r>
        <w:rPr>
          <w:color w:val="231F20"/>
          <w:w w:val="85"/>
        </w:rPr>
        <w:t>carboxylic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acid,</w:t>
      </w:r>
      <w:r>
        <w:rPr>
          <w:color w:val="231F20"/>
          <w:spacing w:val="-6"/>
          <w:w w:val="85"/>
        </w:rPr>
        <w:t> </w:t>
      </w:r>
      <w:r>
        <w:rPr>
          <w:color w:val="231F20"/>
          <w:w w:val="85"/>
        </w:rPr>
        <w:t>O-H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stretching</w:t>
      </w:r>
      <w:r>
        <w:rPr>
          <w:color w:val="231F20"/>
          <w:spacing w:val="-6"/>
          <w:w w:val="85"/>
        </w:rPr>
        <w:t> </w:t>
      </w:r>
      <w:r>
        <w:rPr>
          <w:color w:val="231F20"/>
          <w:w w:val="85"/>
        </w:rPr>
        <w:t>and </w:t>
      </w:r>
      <w:r>
        <w:rPr>
          <w:color w:val="231F20"/>
          <w:w w:val="90"/>
        </w:rPr>
        <w:t>aromatic C-H stretching, </w:t>
      </w:r>
      <w:r>
        <w:rPr>
          <w:color w:val="231F20"/>
          <w:spacing w:val="-3"/>
          <w:w w:val="90"/>
        </w:rPr>
        <w:t>respectively. </w:t>
      </w:r>
      <w:r>
        <w:rPr>
          <w:color w:val="231F20"/>
          <w:w w:val="90"/>
        </w:rPr>
        <w:t>The peak around 1500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cm</w:t>
      </w:r>
      <w:r>
        <w:rPr>
          <w:color w:val="231F20"/>
          <w:w w:val="90"/>
          <w:position w:val="5"/>
          <w:sz w:val="9"/>
        </w:rPr>
        <w:t>−1 </w:t>
      </w:r>
      <w:r>
        <w:rPr>
          <w:color w:val="231F20"/>
          <w:w w:val="90"/>
        </w:rPr>
        <w:t>is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synonymous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with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aromatic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C-C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stretching.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IR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spectrum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of PVP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shows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characteristic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peaks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around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1650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cm</w:t>
      </w:r>
      <w:r>
        <w:rPr>
          <w:color w:val="231F20"/>
          <w:w w:val="90"/>
          <w:position w:val="5"/>
          <w:sz w:val="9"/>
        </w:rPr>
        <w:t>−1</w:t>
      </w:r>
      <w:r>
        <w:rPr>
          <w:color w:val="231F20"/>
          <w:spacing w:val="11"/>
          <w:w w:val="90"/>
          <w:position w:val="5"/>
          <w:sz w:val="9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carbonyl stretching,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around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1400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cm</w:t>
      </w:r>
      <w:r>
        <w:rPr>
          <w:color w:val="231F20"/>
          <w:w w:val="90"/>
          <w:position w:val="5"/>
          <w:sz w:val="9"/>
        </w:rPr>
        <w:t>−1</w:t>
      </w:r>
      <w:r>
        <w:rPr>
          <w:color w:val="231F20"/>
          <w:spacing w:val="12"/>
          <w:w w:val="90"/>
          <w:position w:val="5"/>
          <w:sz w:val="9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C-H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alkane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bend,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around 2900 cm</w:t>
      </w:r>
      <w:r>
        <w:rPr>
          <w:color w:val="231F20"/>
          <w:w w:val="90"/>
          <w:position w:val="5"/>
          <w:sz w:val="9"/>
        </w:rPr>
        <w:t>−1 </w:t>
      </w:r>
      <w:r>
        <w:rPr>
          <w:color w:val="231F20"/>
          <w:w w:val="90"/>
        </w:rPr>
        <w:t>for the C-H alkane stretch (Sp</w:t>
      </w:r>
      <w:r>
        <w:rPr>
          <w:color w:val="231F20"/>
          <w:w w:val="90"/>
          <w:position w:val="5"/>
          <w:sz w:val="9"/>
        </w:rPr>
        <w:t>3 </w:t>
      </w:r>
      <w:r>
        <w:rPr>
          <w:color w:val="231F20"/>
          <w:w w:val="90"/>
        </w:rPr>
        <w:t>hybridized carbon). The </w:t>
      </w:r>
      <w:r>
        <w:rPr>
          <w:color w:val="231F20"/>
          <w:w w:val="85"/>
        </w:rPr>
        <w:t>characteristic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peak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seen</w:t>
      </w:r>
      <w:r>
        <w:rPr>
          <w:color w:val="231F20"/>
          <w:spacing w:val="-6"/>
          <w:w w:val="85"/>
        </w:rPr>
        <w:t> </w:t>
      </w:r>
      <w:r>
        <w:rPr>
          <w:color w:val="231F20"/>
          <w:w w:val="85"/>
        </w:rPr>
        <w:t>on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6"/>
          <w:w w:val="85"/>
        </w:rPr>
        <w:t> </w:t>
      </w:r>
      <w:r>
        <w:rPr>
          <w:color w:val="231F20"/>
          <w:w w:val="85"/>
        </w:rPr>
        <w:t>nanoparticles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around</w:t>
      </w:r>
      <w:r>
        <w:rPr>
          <w:color w:val="231F20"/>
          <w:spacing w:val="-6"/>
          <w:w w:val="85"/>
        </w:rPr>
        <w:t> </w:t>
      </w:r>
      <w:r>
        <w:rPr>
          <w:color w:val="231F20"/>
          <w:w w:val="85"/>
        </w:rPr>
        <w:t>1000–1100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cm</w:t>
      </w:r>
      <w:r>
        <w:rPr>
          <w:color w:val="231F20"/>
          <w:w w:val="85"/>
          <w:position w:val="5"/>
          <w:sz w:val="9"/>
        </w:rPr>
        <w:t>−1 </w:t>
      </w:r>
      <w:r>
        <w:rPr>
          <w:color w:val="231F20"/>
          <w:w w:val="85"/>
        </w:rPr>
        <w:t>is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C-O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bond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from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lactose.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spectra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placebo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nanoparticles </w:t>
      </w:r>
      <w:r>
        <w:rPr>
          <w:color w:val="231F20"/>
          <w:w w:val="90"/>
        </w:rPr>
        <w:t>and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drug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loaded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nanoparticles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show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similar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characteristic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peaks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of the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surfactant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used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partly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binder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though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with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very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slight modifications.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nanoparticles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show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slight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shift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carbonyl</w:t>
      </w:r>
    </w:p>
    <w:p>
      <w:pPr>
        <w:pStyle w:val="BodyText"/>
        <w:spacing w:line="259" w:lineRule="auto" w:before="104"/>
        <w:ind w:left="112" w:right="110"/>
        <w:jc w:val="both"/>
      </w:pPr>
      <w:r>
        <w:rPr/>
        <w:br w:type="column"/>
      </w:r>
      <w:r>
        <w:rPr>
          <w:color w:val="231F20"/>
          <w:w w:val="90"/>
        </w:rPr>
        <w:t>peak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around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1650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cm</w:t>
      </w:r>
      <w:r>
        <w:rPr>
          <w:color w:val="231F20"/>
          <w:w w:val="90"/>
          <w:position w:val="5"/>
          <w:sz w:val="9"/>
        </w:rPr>
        <w:t>−1</w:t>
      </w:r>
      <w:r>
        <w:rPr>
          <w:color w:val="231F20"/>
          <w:w w:val="90"/>
        </w:rPr>
        <w:t>.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There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also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slight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shift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broadening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of the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peak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around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2800–3000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cm</w:t>
      </w:r>
      <w:r>
        <w:rPr>
          <w:color w:val="231F20"/>
          <w:w w:val="90"/>
          <w:position w:val="5"/>
          <w:sz w:val="9"/>
        </w:rPr>
        <w:t>−1</w:t>
      </w:r>
      <w:r>
        <w:rPr>
          <w:color w:val="231F20"/>
          <w:w w:val="90"/>
        </w:rPr>
        <w:t>.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shifts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broadening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the peaks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are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indicative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possible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hydrogen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bonding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between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IBU,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PVP </w:t>
      </w:r>
      <w:r>
        <w:rPr>
          <w:color w:val="231F20"/>
          <w:w w:val="85"/>
        </w:rPr>
        <w:t>which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is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surfactant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lactose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6"/>
          <w:w w:val="85"/>
        </w:rPr>
        <w:t> </w:t>
      </w:r>
      <w:r>
        <w:rPr>
          <w:color w:val="231F20"/>
          <w:spacing w:val="-3"/>
          <w:w w:val="85"/>
        </w:rPr>
        <w:t>binder.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decrease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in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intensity and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shifts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is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also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visible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in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peaks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around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1400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cm</w:t>
      </w:r>
      <w:r>
        <w:rPr>
          <w:color w:val="231F20"/>
          <w:w w:val="85"/>
          <w:position w:val="5"/>
          <w:sz w:val="9"/>
        </w:rPr>
        <w:t>−1</w:t>
      </w:r>
      <w:r>
        <w:rPr>
          <w:color w:val="231F20"/>
          <w:w w:val="85"/>
        </w:rPr>
        <w:t>,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suggesting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that this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group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is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taking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part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in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hydrogen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bonding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process.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chemical </w:t>
      </w:r>
      <w:r>
        <w:rPr>
          <w:color w:val="231F20"/>
          <w:w w:val="90"/>
        </w:rPr>
        <w:t>shifts could also be attributed to physical interactions of the drug and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surfactant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together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with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8"/>
          <w:w w:val="90"/>
        </w:rPr>
        <w:t> </w:t>
      </w:r>
      <w:r>
        <w:rPr>
          <w:color w:val="231F20"/>
          <w:spacing w:val="-3"/>
          <w:w w:val="90"/>
        </w:rPr>
        <w:t>binder,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which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turn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enhanced </w:t>
      </w:r>
      <w:r>
        <w:rPr>
          <w:color w:val="231F20"/>
          <w:w w:val="95"/>
        </w:rPr>
        <w:t>aqueous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solubility,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wettability,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drug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dissolution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[12].</w:t>
      </w:r>
    </w:p>
    <w:p>
      <w:pPr>
        <w:pStyle w:val="BodyText"/>
        <w:spacing w:before="8"/>
        <w:rPr>
          <w:sz w:val="15"/>
        </w:rPr>
      </w:pPr>
    </w:p>
    <w:p>
      <w:pPr>
        <w:pStyle w:val="BodyText"/>
        <w:spacing w:line="259" w:lineRule="auto"/>
        <w:ind w:left="112" w:right="108"/>
        <w:jc w:val="both"/>
      </w:pPr>
      <w:r>
        <w:rPr>
          <w:color w:val="231F20"/>
          <w:w w:val="85"/>
        </w:rPr>
        <w:t>The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spectra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drug,</w:t>
      </w:r>
      <w:r>
        <w:rPr>
          <w:color w:val="231F20"/>
          <w:spacing w:val="-23"/>
          <w:w w:val="85"/>
        </w:rPr>
        <w:t> </w:t>
      </w:r>
      <w:r>
        <w:rPr>
          <w:color w:val="231F20"/>
          <w:spacing w:val="-4"/>
          <w:w w:val="85"/>
        </w:rPr>
        <w:t>however,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did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not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show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any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new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peaks,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indicating that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there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was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no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new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chemical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bond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formed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between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drug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the excipients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[24].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characteristic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peaks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unique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to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drug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were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also not observed on the prepared drug-loaded SLNs indicating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successful </w:t>
      </w:r>
      <w:r>
        <w:rPr>
          <w:color w:val="231F20"/>
          <w:w w:val="90"/>
        </w:rPr>
        <w:t>encapsulation</w:t>
      </w:r>
      <w:r>
        <w:rPr>
          <w:color w:val="231F20"/>
          <w:spacing w:val="-32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32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drug</w:t>
      </w:r>
      <w:r>
        <w:rPr>
          <w:color w:val="231F20"/>
          <w:spacing w:val="-32"/>
          <w:w w:val="90"/>
        </w:rPr>
        <w:t> </w:t>
      </w:r>
      <w:r>
        <w:rPr>
          <w:color w:val="231F20"/>
          <w:w w:val="90"/>
        </w:rPr>
        <w:t>into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32"/>
          <w:w w:val="90"/>
        </w:rPr>
        <w:t> </w:t>
      </w:r>
      <w:r>
        <w:rPr>
          <w:color w:val="231F20"/>
          <w:spacing w:val="-3"/>
          <w:w w:val="90"/>
        </w:rPr>
        <w:t>nanocarrier.</w:t>
      </w:r>
      <w:r>
        <w:rPr>
          <w:color w:val="231F20"/>
          <w:spacing w:val="-32"/>
          <w:w w:val="90"/>
        </w:rPr>
        <w:t> </w:t>
      </w:r>
      <w:r>
        <w:rPr>
          <w:color w:val="231F20"/>
          <w:w w:val="90"/>
        </w:rPr>
        <w:t>This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FTIR</w:t>
      </w:r>
      <w:r>
        <w:rPr>
          <w:color w:val="231F20"/>
          <w:spacing w:val="-32"/>
          <w:w w:val="90"/>
        </w:rPr>
        <w:t> </w:t>
      </w:r>
      <w:r>
        <w:rPr>
          <w:color w:val="231F20"/>
          <w:w w:val="90"/>
        </w:rPr>
        <w:t>data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showed that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molecular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interactions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that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could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alter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chemical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structure </w:t>
      </w:r>
      <w:r>
        <w:rPr>
          <w:color w:val="231F20"/>
          <w:w w:val="95"/>
        </w:rPr>
        <w:t>of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IBU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did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not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occur.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It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can,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therefore,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be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noted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that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there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no </w:t>
      </w:r>
      <w:r>
        <w:rPr>
          <w:color w:val="231F20"/>
          <w:w w:val="85"/>
        </w:rPr>
        <w:t>chemical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interaction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between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functional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groups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drug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the </w:t>
      </w:r>
      <w:r>
        <w:rPr>
          <w:color w:val="231F20"/>
          <w:w w:val="95"/>
        </w:rPr>
        <w:t>added excipients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[24].</w:t>
      </w:r>
    </w:p>
    <w:p>
      <w:pPr>
        <w:pStyle w:val="BodyText"/>
        <w:spacing w:before="5"/>
        <w:rPr>
          <w:sz w:val="15"/>
        </w:rPr>
      </w:pPr>
    </w:p>
    <w:p>
      <w:pPr>
        <w:pStyle w:val="Heading2"/>
      </w:pPr>
      <w:r>
        <w:rPr>
          <w:color w:val="231F20"/>
        </w:rPr>
        <w:t>XRD</w:t>
      </w:r>
    </w:p>
    <w:p>
      <w:pPr>
        <w:pStyle w:val="BodyText"/>
        <w:spacing w:line="259" w:lineRule="auto" w:before="17"/>
        <w:ind w:left="112" w:right="107"/>
        <w:jc w:val="both"/>
      </w:pPr>
      <w:r>
        <w:rPr>
          <w:color w:val="231F20"/>
          <w:w w:val="90"/>
        </w:rPr>
        <w:t>The pure IBU drug and drug-loaded nanoparticles were subjected to </w:t>
      </w:r>
      <w:r>
        <w:rPr>
          <w:color w:val="231F20"/>
          <w:spacing w:val="-3"/>
          <w:w w:val="90"/>
        </w:rPr>
        <w:t>X-ray </w:t>
      </w:r>
      <w:r>
        <w:rPr>
          <w:color w:val="231F20"/>
          <w:w w:val="90"/>
        </w:rPr>
        <w:t>power diffractions and the diffractograms compared. The </w:t>
      </w:r>
      <w:r>
        <w:rPr>
          <w:color w:val="231F20"/>
          <w:w w:val="85"/>
        </w:rPr>
        <w:t>characteristic intensity peaks for pure IBU could be identified around </w:t>
      </w:r>
      <w:r>
        <w:rPr>
          <w:color w:val="231F20"/>
          <w:w w:val="90"/>
        </w:rPr>
        <w:t>12.0°,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16.0°,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17.0°,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22.0°,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25.0°,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27.0°,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30.0°,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34.0°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2θ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degrees</w:t>
      </w:r>
    </w:p>
    <w:p>
      <w:pPr>
        <w:pStyle w:val="BodyText"/>
        <w:spacing w:line="259" w:lineRule="auto"/>
        <w:ind w:left="112" w:right="110"/>
        <w:jc w:val="both"/>
      </w:pPr>
      <w:r>
        <w:rPr>
          <w:color w:val="231F20"/>
          <w:w w:val="90"/>
        </w:rPr>
        <w:t>which is in agreement with literature [18,24]. In the drug-loaded </w:t>
      </w:r>
      <w:r>
        <w:rPr>
          <w:color w:val="231F20"/>
          <w:w w:val="95"/>
        </w:rPr>
        <w:t>nanoparticles,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these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peaks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are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seen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disappear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(Fig.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4)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which </w:t>
      </w:r>
      <w:r>
        <w:rPr>
          <w:color w:val="231F20"/>
          <w:w w:val="90"/>
        </w:rPr>
        <w:t>indicates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existence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an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amorphous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state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nanoparticles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as compared</w:t>
      </w:r>
      <w:r>
        <w:rPr>
          <w:color w:val="231F20"/>
          <w:spacing w:val="-34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34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34"/>
          <w:w w:val="90"/>
        </w:rPr>
        <w:t> </w:t>
      </w:r>
      <w:r>
        <w:rPr>
          <w:color w:val="231F20"/>
          <w:w w:val="90"/>
        </w:rPr>
        <w:t>crystalline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nature</w:t>
      </w:r>
      <w:r>
        <w:rPr>
          <w:color w:val="231F20"/>
          <w:spacing w:val="-34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34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34"/>
          <w:w w:val="90"/>
        </w:rPr>
        <w:t> </w:t>
      </w:r>
      <w:r>
        <w:rPr>
          <w:color w:val="231F20"/>
          <w:w w:val="90"/>
        </w:rPr>
        <w:t>drug.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This</w:t>
      </w:r>
      <w:r>
        <w:rPr>
          <w:color w:val="231F20"/>
          <w:spacing w:val="-34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34"/>
          <w:w w:val="90"/>
        </w:rPr>
        <w:t> </w:t>
      </w:r>
      <w:r>
        <w:rPr>
          <w:color w:val="231F20"/>
          <w:w w:val="90"/>
        </w:rPr>
        <w:t>attributed</w:t>
      </w:r>
      <w:r>
        <w:rPr>
          <w:color w:val="231F20"/>
          <w:spacing w:val="-34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34"/>
          <w:w w:val="90"/>
        </w:rPr>
        <w:t> </w:t>
      </w:r>
      <w:r>
        <w:rPr>
          <w:color w:val="231F20"/>
          <w:w w:val="90"/>
        </w:rPr>
        <w:t>the </w:t>
      </w:r>
      <w:r>
        <w:rPr>
          <w:color w:val="231F20"/>
          <w:w w:val="85"/>
        </w:rPr>
        <w:t>incorporation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IBU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into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lipid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matrix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successful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encapsulation </w:t>
      </w:r>
      <w:r>
        <w:rPr>
          <w:color w:val="231F20"/>
          <w:w w:val="95"/>
        </w:rPr>
        <w:t>of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drug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inside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excipients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[18,19,25].</w: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259" w:lineRule="auto" w:before="1"/>
        <w:ind w:left="112" w:right="109"/>
        <w:jc w:val="both"/>
      </w:pPr>
      <w:r>
        <w:rPr>
          <w:color w:val="231F20"/>
          <w:w w:val="85"/>
        </w:rPr>
        <w:t>Previous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studies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have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attributed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reduced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intensity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to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presence </w:t>
      </w:r>
      <w:r>
        <w:rPr>
          <w:color w:val="231F20"/>
          <w:w w:val="95"/>
        </w:rPr>
        <w:t>of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IBU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crystal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lattice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which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changes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crystallinity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the </w:t>
      </w:r>
      <w:r>
        <w:rPr>
          <w:color w:val="231F20"/>
          <w:w w:val="90"/>
        </w:rPr>
        <w:t>SLNs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[25].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When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IBU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encapsulated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only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lipid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matrix,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there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is the disappearance of several IBU peaks which usually represents the coexistence of the amorphous and crystalline structure within the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lipid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matrix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[18].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Akbari</w:t>
      </w:r>
      <w:r>
        <w:rPr>
          <w:color w:val="231F20"/>
          <w:spacing w:val="-9"/>
          <w:w w:val="90"/>
        </w:rPr>
        <w:t> </w:t>
      </w:r>
      <w:r>
        <w:rPr>
          <w:rFonts w:ascii="Times New Roman"/>
          <w:i/>
          <w:color w:val="231F20"/>
          <w:w w:val="90"/>
        </w:rPr>
        <w:t>et</w:t>
      </w:r>
      <w:r>
        <w:rPr>
          <w:rFonts w:ascii="Times New Roman"/>
          <w:i/>
          <w:color w:val="231F20"/>
          <w:spacing w:val="-1"/>
          <w:w w:val="90"/>
        </w:rPr>
        <w:t> </w:t>
      </w:r>
      <w:r>
        <w:rPr>
          <w:rFonts w:ascii="Times New Roman"/>
          <w:i/>
          <w:color w:val="231F20"/>
          <w:w w:val="90"/>
        </w:rPr>
        <w:t>al</w:t>
      </w:r>
      <w:r>
        <w:rPr>
          <w:color w:val="231F20"/>
          <w:w w:val="90"/>
        </w:rPr>
        <w:t>.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[24]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also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prepared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IBU-loaded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SA </w:t>
      </w:r>
      <w:r>
        <w:rPr>
          <w:color w:val="231F20"/>
          <w:w w:val="85"/>
        </w:rPr>
        <w:t>nanoparticles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intensity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peaks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could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be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identified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at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21.28,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19.8, </w:t>
      </w:r>
      <w:r>
        <w:rPr>
          <w:color w:val="231F20"/>
          <w:w w:val="90"/>
        </w:rPr>
        <w:t>16.32,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23.44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which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clearly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showed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that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diffractograms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the high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intensity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peaks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belonged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lipid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thus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disappearance </w:t>
      </w:r>
      <w:r>
        <w:rPr>
          <w:color w:val="231F20"/>
          <w:w w:val="85"/>
        </w:rPr>
        <w:t>of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IBU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peaks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signified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coexistence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amorphous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crystalline</w:t>
      </w:r>
    </w:p>
    <w:p>
      <w:pPr>
        <w:spacing w:after="0" w:line="259" w:lineRule="auto"/>
        <w:jc w:val="both"/>
        <w:sectPr>
          <w:type w:val="continuous"/>
          <w:pgSz w:w="11910" w:h="16840"/>
          <w:pgMar w:top="140" w:bottom="280" w:left="800" w:right="800"/>
          <w:cols w:num="2" w:equalWidth="0">
            <w:col w:w="4978" w:space="284"/>
            <w:col w:w="5048"/>
          </w:cols>
        </w:sect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ind w:left="1525"/>
        <w:rPr>
          <w:sz w:val="20"/>
        </w:rPr>
      </w:pPr>
      <w:r>
        <w:rPr>
          <w:sz w:val="20"/>
        </w:rPr>
        <w:pict>
          <v:group style="width:362.9pt;height:234.5pt;mso-position-horizontal-relative:char;mso-position-vertical-relative:line" coordorigin="0,0" coordsize="7258,4690">
            <v:shape style="position:absolute;left:76;top:76;width:7104;height:4532" type="#_x0000_t75" stroked="false">
              <v:imagedata r:id="rId12" o:title=""/>
            </v:shape>
            <v:rect style="position:absolute;left:2;top:2;width:7253;height:4685" filled="false" stroked="true" strokeweight=".25pt" strokecolor="#231f20">
              <v:stroke dashstyle="solid"/>
            </v:rect>
          </v:group>
        </w:pict>
      </w:r>
      <w:r>
        <w:rPr>
          <w:sz w:val="20"/>
        </w:rPr>
      </w:r>
    </w:p>
    <w:p>
      <w:pPr>
        <w:pStyle w:val="Heading2"/>
        <w:spacing w:line="256" w:lineRule="auto" w:before="57"/>
        <w:ind w:left="4651" w:right="304" w:hanging="4134"/>
      </w:pPr>
      <w:r>
        <w:rPr>
          <w:color w:val="231F20"/>
        </w:rPr>
        <w:t>Fig. 2: Photon correlation spectroscopy graphs for particle size measurements and PDI for placebo nanoparticles, formulations F1, F2, and F3</w:t>
      </w:r>
    </w:p>
    <w:p>
      <w:pPr>
        <w:spacing w:after="0" w:line="256" w:lineRule="auto"/>
        <w:sectPr>
          <w:type w:val="continuous"/>
          <w:pgSz w:w="11910" w:h="16840"/>
          <w:pgMar w:top="140" w:bottom="280" w:left="800" w:right="800"/>
        </w:sectPr>
      </w:pPr>
    </w:p>
    <w:p>
      <w:pPr>
        <w:pStyle w:val="BodyText"/>
        <w:spacing w:before="6"/>
        <w:rPr>
          <w:rFonts w:ascii="Caladea"/>
          <w:b/>
          <w:sz w:val="19"/>
        </w:rPr>
      </w:pPr>
    </w:p>
    <w:p>
      <w:pPr>
        <w:pStyle w:val="BodyText"/>
        <w:spacing w:line="259" w:lineRule="auto" w:before="104"/>
        <w:ind w:left="5374" w:right="109"/>
        <w:jc w:val="both"/>
      </w:pPr>
      <w:r>
        <w:rPr/>
        <w:pict>
          <v:group style="position:absolute;margin-left:46.998001pt;margin-top:6.402751pt;width:241pt;height:139.950pt;mso-position-horizontal-relative:page;mso-position-vertical-relative:paragraph;z-index:15731712" coordorigin="940,128" coordsize="4820,2799">
            <v:shape style="position:absolute;left:1016;top:204;width:4647;height:2650" type="#_x0000_t75" stroked="false">
              <v:imagedata r:id="rId13" o:title=""/>
            </v:shape>
            <v:rect style="position:absolute;left:942;top:130;width:4815;height:2794" filled="false" stroked="true" strokeweight=".25pt" strokecolor="#231f20">
              <v:stroke dashstyle="solid"/>
            </v:rect>
            <w10:wrap type="none"/>
          </v:group>
        </w:pict>
      </w:r>
      <w:r>
        <w:rPr>
          <w:color w:val="231F20"/>
          <w:w w:val="95"/>
        </w:rPr>
        <w:t>These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factors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include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solubility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drug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lipid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matrix, </w:t>
      </w:r>
      <w:r>
        <w:rPr>
          <w:color w:val="231F20"/>
          <w:w w:val="90"/>
        </w:rPr>
        <w:t>physicochemical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properties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matrix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used,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miscibility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of </w:t>
      </w:r>
      <w:r>
        <w:rPr>
          <w:color w:val="231F20"/>
          <w:w w:val="85"/>
        </w:rPr>
        <w:t>the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drug,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matrix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used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[17].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Addition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stabilizers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or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emulsifiers </w:t>
      </w:r>
      <w:r>
        <w:rPr>
          <w:color w:val="231F20"/>
          <w:w w:val="95"/>
        </w:rPr>
        <w:t>has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previously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been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reported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increase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EE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lowered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DL </w:t>
      </w:r>
      <w:r>
        <w:rPr>
          <w:color w:val="231F20"/>
          <w:w w:val="85"/>
        </w:rPr>
        <w:t>capacity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[17,19].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In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current</w:t>
      </w:r>
      <w:r>
        <w:rPr>
          <w:color w:val="231F20"/>
          <w:spacing w:val="-11"/>
          <w:w w:val="85"/>
        </w:rPr>
        <w:t> </w:t>
      </w:r>
      <w:r>
        <w:rPr>
          <w:color w:val="231F20"/>
          <w:spacing w:val="-3"/>
          <w:w w:val="85"/>
        </w:rPr>
        <w:t>study,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low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DL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capacity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is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attributed </w:t>
      </w:r>
      <w:r>
        <w:rPr>
          <w:color w:val="231F20"/>
          <w:w w:val="90"/>
        </w:rPr>
        <w:t>to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high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amounts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surfactant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binder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used,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this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the </w:t>
      </w:r>
      <w:r>
        <w:rPr>
          <w:color w:val="231F20"/>
          <w:w w:val="95"/>
        </w:rPr>
        <w:t>reason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behind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high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longer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release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profile.</w:t>
      </w:r>
    </w:p>
    <w:p>
      <w:pPr>
        <w:spacing w:after="0" w:line="259" w:lineRule="auto"/>
        <w:jc w:val="both"/>
        <w:sectPr>
          <w:pgSz w:w="11910" w:h="16840"/>
          <w:pgMar w:header="695" w:footer="952" w:top="1080" w:bottom="1140" w:left="800" w:right="800"/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8"/>
        <w:rPr>
          <w:sz w:val="20"/>
        </w:rPr>
      </w:pPr>
    </w:p>
    <w:p>
      <w:pPr>
        <w:pStyle w:val="Heading2"/>
        <w:spacing w:line="256" w:lineRule="auto" w:before="1"/>
        <w:ind w:left="140" w:right="38" w:hanging="3"/>
        <w:jc w:val="center"/>
      </w:pPr>
      <w:r>
        <w:rPr>
          <w:color w:val="231F20"/>
        </w:rPr>
        <w:t>Fig. 3: Fourier transform infrared spectroscopy spectra of pure ibuprofen,</w:t>
      </w:r>
      <w:r>
        <w:rPr>
          <w:color w:val="231F20"/>
          <w:spacing w:val="-10"/>
        </w:rPr>
        <w:t> </w:t>
      </w:r>
      <w:r>
        <w:rPr>
          <w:color w:val="231F20"/>
        </w:rPr>
        <w:t>polyvinylpyrrolidone,</w:t>
      </w:r>
      <w:r>
        <w:rPr>
          <w:color w:val="231F20"/>
          <w:spacing w:val="-9"/>
        </w:rPr>
        <w:t> </w:t>
      </w:r>
      <w:r>
        <w:rPr>
          <w:color w:val="231F20"/>
        </w:rPr>
        <w:t>placebo</w:t>
      </w:r>
      <w:r>
        <w:rPr>
          <w:color w:val="231F20"/>
          <w:spacing w:val="-9"/>
        </w:rPr>
        <w:t> </w:t>
      </w:r>
      <w:r>
        <w:rPr>
          <w:color w:val="231F20"/>
        </w:rPr>
        <w:t>nanoparticles,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10"/>
        </w:rPr>
        <w:t> </w:t>
      </w:r>
      <w:r>
        <w:rPr>
          <w:color w:val="231F20"/>
        </w:rPr>
        <w:t>IBU- loaded</w:t>
      </w:r>
      <w:r>
        <w:rPr>
          <w:color w:val="231F20"/>
          <w:spacing w:val="-2"/>
        </w:rPr>
        <w:t> </w:t>
      </w:r>
      <w:r>
        <w:rPr>
          <w:color w:val="231F20"/>
        </w:rPr>
        <w:t>nanoparticles</w:t>
      </w:r>
    </w:p>
    <w:p>
      <w:pPr>
        <w:pStyle w:val="BodyText"/>
        <w:spacing w:before="3"/>
        <w:rPr>
          <w:rFonts w:ascii="Caladea"/>
          <w:b/>
        </w:rPr>
      </w:pPr>
      <w:r>
        <w:rPr/>
        <w:br w:type="column"/>
      </w:r>
      <w:r>
        <w:rPr>
          <w:rFonts w:ascii="Caladea"/>
          <w:b/>
        </w:rPr>
      </w:r>
    </w:p>
    <w:p>
      <w:pPr>
        <w:spacing w:before="1"/>
        <w:ind w:left="140" w:right="0" w:firstLine="0"/>
        <w:jc w:val="left"/>
        <w:rPr>
          <w:rFonts w:ascii="Caladea"/>
          <w:b/>
          <w:sz w:val="16"/>
        </w:rPr>
      </w:pPr>
      <w:r>
        <w:rPr>
          <w:rFonts w:ascii="Caladea"/>
          <w:b/>
          <w:color w:val="231F20"/>
          <w:sz w:val="16"/>
        </w:rPr>
        <w:t>TEM</w:t>
      </w:r>
    </w:p>
    <w:p>
      <w:pPr>
        <w:pStyle w:val="BodyText"/>
        <w:spacing w:line="259" w:lineRule="auto" w:before="17"/>
        <w:ind w:left="140" w:right="109"/>
        <w:jc w:val="both"/>
      </w:pPr>
      <w:r>
        <w:rPr>
          <w:color w:val="231F20"/>
          <w:w w:val="85"/>
        </w:rPr>
        <w:t>The</w:t>
      </w:r>
      <w:r>
        <w:rPr>
          <w:color w:val="231F20"/>
          <w:spacing w:val="-30"/>
          <w:w w:val="85"/>
        </w:rPr>
        <w:t> </w:t>
      </w:r>
      <w:r>
        <w:rPr>
          <w:color w:val="231F20"/>
          <w:w w:val="85"/>
        </w:rPr>
        <w:t>TEM</w:t>
      </w:r>
      <w:r>
        <w:rPr>
          <w:color w:val="231F20"/>
          <w:spacing w:val="-29"/>
          <w:w w:val="85"/>
        </w:rPr>
        <w:t> </w:t>
      </w:r>
      <w:r>
        <w:rPr>
          <w:color w:val="231F20"/>
          <w:w w:val="85"/>
        </w:rPr>
        <w:t>images</w:t>
      </w:r>
      <w:r>
        <w:rPr>
          <w:color w:val="231F20"/>
          <w:spacing w:val="-30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29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30"/>
          <w:w w:val="85"/>
        </w:rPr>
        <w:t> </w:t>
      </w:r>
      <w:r>
        <w:rPr>
          <w:color w:val="231F20"/>
          <w:w w:val="85"/>
        </w:rPr>
        <w:t>prepared</w:t>
      </w:r>
      <w:r>
        <w:rPr>
          <w:color w:val="231F20"/>
          <w:spacing w:val="-29"/>
          <w:w w:val="85"/>
        </w:rPr>
        <w:t> </w:t>
      </w:r>
      <w:r>
        <w:rPr>
          <w:color w:val="231F20"/>
          <w:w w:val="85"/>
        </w:rPr>
        <w:t>IBU-loaded</w:t>
      </w:r>
      <w:r>
        <w:rPr>
          <w:color w:val="231F20"/>
          <w:spacing w:val="-29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30"/>
          <w:w w:val="85"/>
        </w:rPr>
        <w:t> </w:t>
      </w:r>
      <w:r>
        <w:rPr>
          <w:color w:val="231F20"/>
          <w:w w:val="85"/>
        </w:rPr>
        <w:t>unloaded</w:t>
      </w:r>
      <w:r>
        <w:rPr>
          <w:color w:val="231F20"/>
          <w:spacing w:val="-29"/>
          <w:w w:val="85"/>
        </w:rPr>
        <w:t> </w:t>
      </w:r>
      <w:r>
        <w:rPr>
          <w:color w:val="231F20"/>
          <w:w w:val="85"/>
        </w:rPr>
        <w:t>nanoparticles </w:t>
      </w:r>
      <w:r>
        <w:rPr>
          <w:color w:val="231F20"/>
          <w:w w:val="90"/>
        </w:rPr>
        <w:t>are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presented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Fig.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6.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general,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TEM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showed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particles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be spherical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shape.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placebo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nanoparticles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were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generally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small and well dispersed in relation to the IBU-loaded nanoprticles.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The IBU-loaded nanoparticles were larger in size signifying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successful </w:t>
      </w:r>
      <w:r>
        <w:rPr>
          <w:color w:val="231F20"/>
          <w:w w:val="95"/>
        </w:rPr>
        <w:t>encapsulation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drug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into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nanocarrier.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This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observation </w:t>
      </w:r>
      <w:r>
        <w:rPr>
          <w:color w:val="231F20"/>
          <w:w w:val="85"/>
        </w:rPr>
        <w:t>indicates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that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loading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actually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took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place.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These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results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are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in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line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with </w:t>
      </w:r>
      <w:r>
        <w:rPr>
          <w:color w:val="231F20"/>
          <w:w w:val="90"/>
        </w:rPr>
        <w:t>the</w:t>
      </w:r>
      <w:r>
        <w:rPr>
          <w:color w:val="231F20"/>
          <w:spacing w:val="-34"/>
          <w:w w:val="90"/>
        </w:rPr>
        <w:t> </w:t>
      </w:r>
      <w:r>
        <w:rPr>
          <w:color w:val="231F20"/>
          <w:w w:val="90"/>
        </w:rPr>
        <w:t>results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obtained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from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zeta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sizer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34"/>
          <w:w w:val="90"/>
        </w:rPr>
        <w:t> </w:t>
      </w:r>
      <w:r>
        <w:rPr>
          <w:color w:val="231F20"/>
          <w:w w:val="90"/>
        </w:rPr>
        <w:t>thermogravimetric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analysis.</w:t>
      </w:r>
    </w:p>
    <w:p>
      <w:pPr>
        <w:pStyle w:val="BodyText"/>
        <w:spacing w:before="6"/>
      </w:pPr>
    </w:p>
    <w:p>
      <w:pPr>
        <w:spacing w:before="0"/>
        <w:ind w:left="140" w:right="0" w:firstLine="0"/>
        <w:jc w:val="left"/>
        <w:rPr>
          <w:rFonts w:ascii="Caladea"/>
          <w:b/>
          <w:sz w:val="16"/>
        </w:rPr>
      </w:pPr>
      <w:r>
        <w:rPr>
          <w:rFonts w:ascii="Georgia"/>
          <w:b/>
          <w:i/>
          <w:color w:val="231F20"/>
          <w:sz w:val="16"/>
        </w:rPr>
        <w:t>In vitro </w:t>
      </w:r>
      <w:r>
        <w:rPr>
          <w:rFonts w:ascii="Caladea"/>
          <w:b/>
          <w:color w:val="231F20"/>
          <w:sz w:val="16"/>
        </w:rPr>
        <w:t>release studies</w:t>
      </w:r>
    </w:p>
    <w:p>
      <w:pPr>
        <w:pStyle w:val="BodyText"/>
        <w:spacing w:line="259" w:lineRule="auto" w:before="18"/>
        <w:ind w:left="140" w:right="108"/>
        <w:jc w:val="both"/>
      </w:pPr>
      <w:r>
        <w:rPr>
          <w:color w:val="231F20"/>
          <w:w w:val="95"/>
        </w:rPr>
        <w:t>The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two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drug-loaded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formulations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F2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F3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both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having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as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 </w:t>
      </w:r>
      <w:r>
        <w:rPr>
          <w:color w:val="231F20"/>
          <w:w w:val="90"/>
        </w:rPr>
        <w:t>carrier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matrix,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PVP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as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surfactant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lactose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as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binder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were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found to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able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sustain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drug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release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(Fig.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7).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cumulative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percent drug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release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two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formulations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was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found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94%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96% at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end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about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7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h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8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h,</w:t>
      </w:r>
      <w:r>
        <w:rPr>
          <w:color w:val="231F20"/>
          <w:spacing w:val="-25"/>
          <w:w w:val="90"/>
        </w:rPr>
        <w:t> </w:t>
      </w:r>
      <w:r>
        <w:rPr>
          <w:color w:val="231F20"/>
          <w:spacing w:val="-3"/>
          <w:w w:val="90"/>
        </w:rPr>
        <w:t>respectively.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Both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formulations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did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not show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initial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burst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release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indicating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complete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encapsulation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in </w:t>
      </w:r>
      <w:r>
        <w:rPr>
          <w:color w:val="231F20"/>
          <w:w w:val="85"/>
        </w:rPr>
        <w:t>the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carrier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matrix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lack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unbound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free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drug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concentrations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on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the </w:t>
      </w:r>
      <w:r>
        <w:rPr>
          <w:color w:val="231F20"/>
          <w:w w:val="95"/>
        </w:rPr>
        <w:t>surface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nanoparticles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[28].</w:t>
      </w:r>
    </w:p>
    <w:p>
      <w:pPr>
        <w:pStyle w:val="BodyText"/>
        <w:spacing w:before="9"/>
      </w:pPr>
    </w:p>
    <w:p>
      <w:pPr>
        <w:pStyle w:val="BodyText"/>
        <w:spacing w:line="259" w:lineRule="auto"/>
        <w:ind w:left="140" w:right="109"/>
        <w:jc w:val="both"/>
      </w:pPr>
      <w:r>
        <w:rPr>
          <w:color w:val="231F20"/>
          <w:w w:val="85"/>
        </w:rPr>
        <w:t>This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collaborated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well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with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FTIR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spectral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data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that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did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not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show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any peak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responsible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for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drug.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It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was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observed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that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F3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formulation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was able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to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sustain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drug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release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little</w:t>
      </w:r>
      <w:r>
        <w:rPr>
          <w:color w:val="231F20"/>
          <w:spacing w:val="-17"/>
          <w:w w:val="85"/>
        </w:rPr>
        <w:t> </w:t>
      </w:r>
      <w:r>
        <w:rPr>
          <w:color w:val="231F20"/>
          <w:spacing w:val="-3"/>
          <w:w w:val="85"/>
        </w:rPr>
        <w:t>longer,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this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was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attributed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to</w:t>
      </w:r>
    </w:p>
    <w:p>
      <w:pPr>
        <w:spacing w:after="0" w:line="259" w:lineRule="auto"/>
        <w:jc w:val="both"/>
        <w:sectPr>
          <w:type w:val="continuous"/>
          <w:pgSz w:w="11910" w:h="16840"/>
          <w:pgMar w:top="140" w:bottom="280" w:left="800" w:right="800"/>
          <w:cols w:num="2" w:equalWidth="0">
            <w:col w:w="4949" w:space="285"/>
            <w:col w:w="507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Heading2"/>
        <w:spacing w:line="256" w:lineRule="auto"/>
        <w:ind w:left="876" w:right="5133" w:hanging="604"/>
      </w:pPr>
      <w:r>
        <w:rPr/>
        <w:pict>
          <v:group style="position:absolute;margin-left:46.886002pt;margin-top:-177.661987pt;width:241pt;height:173.05pt;mso-position-horizontal-relative:page;mso-position-vertical-relative:paragraph;z-index:15732224" coordorigin="938,-3553" coordsize="4820,3461">
            <v:shape style="position:absolute;left:1014;top:-3477;width:4685;height:3303" type="#_x0000_t75" stroked="false">
              <v:imagedata r:id="rId14" o:title=""/>
            </v:shape>
            <v:rect style="position:absolute;left:940;top:-3551;width:4815;height:3456" filled="false" stroked="true" strokeweight=".25pt" strokecolor="#231f20">
              <v:stroke dashstyle="solid"/>
            </v:rect>
            <w10:wrap type="none"/>
          </v:group>
        </w:pict>
      </w:r>
      <w:r>
        <w:rPr/>
        <w:pict>
          <v:group style="position:absolute;margin-left:327.376007pt;margin-top:-42.222992pt;width:203.8pt;height:172.85pt;mso-position-horizontal-relative:page;mso-position-vertical-relative:paragraph;z-index:15732736" coordorigin="6548,-844" coordsize="4076,3457">
            <v:shape style="position:absolute;left:6624;top:-768;width:3917;height:3380" type="#_x0000_t75" stroked="false">
              <v:imagedata r:id="rId15" o:title=""/>
            </v:shape>
            <v:rect style="position:absolute;left:6550;top:-842;width:4071;height:3452" filled="false" stroked="true" strokeweight=".25pt" strokecolor="#231f20">
              <v:stroke dashstyle="solid"/>
            </v:rect>
            <w10:wrap type="none"/>
          </v:group>
        </w:pict>
      </w:r>
      <w:r>
        <w:rPr>
          <w:color w:val="231F20"/>
        </w:rPr>
        <w:t>Fig. 4: X-ray diffraction diffractograms of pure ibuprofen (IBU) drug and IBU-loaded solid lipid nanoparticles</w:t>
      </w:r>
    </w:p>
    <w:p>
      <w:pPr>
        <w:pStyle w:val="BodyText"/>
        <w:spacing w:before="1"/>
        <w:rPr>
          <w:rFonts w:ascii="Caladea"/>
          <w:b/>
        </w:rPr>
      </w:pPr>
    </w:p>
    <w:p>
      <w:pPr>
        <w:spacing w:after="0"/>
        <w:rPr>
          <w:rFonts w:ascii="Caladea"/>
        </w:rPr>
        <w:sectPr>
          <w:type w:val="continuous"/>
          <w:pgSz w:w="11910" w:h="16840"/>
          <w:pgMar w:top="140" w:bottom="280" w:left="800" w:right="800"/>
        </w:sectPr>
      </w:pPr>
    </w:p>
    <w:p>
      <w:pPr>
        <w:pStyle w:val="BodyText"/>
        <w:spacing w:line="259" w:lineRule="auto" w:before="103"/>
        <w:ind w:left="112" w:right="38"/>
        <w:jc w:val="both"/>
      </w:pPr>
      <w:r>
        <w:rPr>
          <w:color w:val="231F20"/>
          <w:w w:val="85"/>
        </w:rPr>
        <w:t>IBU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in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lipid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matrix.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addition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surfactants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other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excipients </w:t>
      </w:r>
      <w:r>
        <w:rPr>
          <w:color w:val="231F20"/>
          <w:w w:val="90"/>
        </w:rPr>
        <w:t>are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known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further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lessen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peak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intensities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or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make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them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not visible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thus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modify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crystallinity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drug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leading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more amorphous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nature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formulation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[10,26].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Similar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results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were obtained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by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Hasnain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Kumar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[26],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where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pure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IBU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exhibited </w:t>
      </w:r>
      <w:r>
        <w:rPr>
          <w:color w:val="231F20"/>
          <w:w w:val="95"/>
        </w:rPr>
        <w:t>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completely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crystalline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nature,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physical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mixture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IBU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with </w:t>
      </w:r>
      <w:r>
        <w:rPr>
          <w:color w:val="231F20"/>
          <w:w w:val="90"/>
        </w:rPr>
        <w:t>PEG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6000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PVP-K30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exhibited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coexistence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amorphous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and crystalline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nature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while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IBU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solid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dispersions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using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PEG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600-PVP K30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as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combined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carrier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exhibited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completely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amorphous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state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as </w:t>
      </w:r>
      <w:r>
        <w:rPr>
          <w:color w:val="231F20"/>
          <w:w w:val="95"/>
        </w:rPr>
        <w:t>recorded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from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XRD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[26].</w:t>
      </w:r>
    </w:p>
    <w:p>
      <w:pPr>
        <w:pStyle w:val="BodyText"/>
      </w:pPr>
    </w:p>
    <w:p>
      <w:pPr>
        <w:pStyle w:val="Heading2"/>
        <w:jc w:val="both"/>
      </w:pPr>
      <w:r>
        <w:rPr>
          <w:color w:val="231F20"/>
        </w:rPr>
        <w:t>Thermogravimetric analysis</w:t>
      </w:r>
    </w:p>
    <w:p>
      <w:pPr>
        <w:pStyle w:val="BodyText"/>
        <w:spacing w:line="259" w:lineRule="auto" w:before="18"/>
        <w:ind w:left="112" w:right="38"/>
        <w:jc w:val="both"/>
      </w:pPr>
      <w:r>
        <w:rPr>
          <w:color w:val="231F20"/>
          <w:w w:val="85"/>
        </w:rPr>
        <w:t>The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TGA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thermograms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for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IBU,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placebo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nanoparticles,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IBU-loaded nanoparticles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are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presented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in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Fig.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5.</w:t>
      </w:r>
      <w:r>
        <w:rPr>
          <w:color w:val="231F20"/>
          <w:spacing w:val="-11"/>
          <w:w w:val="85"/>
        </w:rPr>
        <w:t> </w:t>
      </w:r>
      <w:r>
        <w:rPr>
          <w:color w:val="231F20"/>
          <w:spacing w:val="-3"/>
          <w:w w:val="85"/>
        </w:rPr>
        <w:t>For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placebo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drug-loaded </w:t>
      </w:r>
      <w:r>
        <w:rPr>
          <w:color w:val="231F20"/>
          <w:w w:val="90"/>
        </w:rPr>
        <w:t>nanoparticles, three steps of weight loss were observed. The first covered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temperature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range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about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40–100°C,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corresponding to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loss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moisture.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From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thermogram,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this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range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exhibited 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weight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loss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about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5%,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which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acceptable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pharmaceutical products [19]. The second and the third covered the temperature ranges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about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220–300°C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about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240–450°C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corresponding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to the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thermal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degradation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PVP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lactose.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With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regard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TGA </w:t>
      </w:r>
      <w:r>
        <w:rPr>
          <w:color w:val="231F20"/>
          <w:w w:val="85"/>
        </w:rPr>
        <w:t>thermogram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IBU,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it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exhibited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one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major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step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weight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loss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covering the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temperature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ranges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about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180–250°C.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It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is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also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documented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that the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difference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in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weight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percent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between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drug-loaded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nanoparticles and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placebo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nanoparticles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can</w:t>
      </w:r>
      <w:r>
        <w:rPr>
          <w:color w:val="231F20"/>
          <w:spacing w:val="-19"/>
          <w:w w:val="85"/>
        </w:rPr>
        <w:t> </w:t>
      </w:r>
      <w:r>
        <w:rPr>
          <w:color w:val="231F20"/>
          <w:spacing w:val="-3"/>
          <w:w w:val="85"/>
        </w:rPr>
        <w:t>give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an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approximate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indication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the DL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percentage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[27].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In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this</w:t>
      </w:r>
      <w:r>
        <w:rPr>
          <w:color w:val="231F20"/>
          <w:spacing w:val="-12"/>
          <w:w w:val="85"/>
        </w:rPr>
        <w:t> </w:t>
      </w:r>
      <w:r>
        <w:rPr>
          <w:color w:val="231F20"/>
          <w:spacing w:val="-3"/>
          <w:w w:val="85"/>
        </w:rPr>
        <w:t>study,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current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TGA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thermogram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(Fig.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5) indicates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DL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approximately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3–6%,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which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is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similar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to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calculated value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2.31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4.01%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for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formulations.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Several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factors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determine </w:t>
      </w:r>
      <w:r>
        <w:rPr>
          <w:color w:val="231F20"/>
          <w:w w:val="95"/>
        </w:rPr>
        <w:t>the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loading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capacity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drug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nanoparticles.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8"/>
        <w:rPr>
          <w:sz w:val="19"/>
        </w:rPr>
      </w:pPr>
    </w:p>
    <w:p>
      <w:pPr>
        <w:pStyle w:val="Heading2"/>
        <w:spacing w:line="256" w:lineRule="auto"/>
        <w:ind w:right="180" w:hanging="1"/>
        <w:jc w:val="center"/>
      </w:pPr>
      <w:r>
        <w:rPr>
          <w:color w:val="231F20"/>
        </w:rPr>
        <w:t>Fig. 5: Thermogravimetric analysis thermograms for ibuprofen (IBU)-loaded solid lipid nanoparticles (SLNs), placebo SLNs, and pure IBU drug</w:t>
      </w:r>
    </w:p>
    <w:p>
      <w:pPr>
        <w:pStyle w:val="BodyText"/>
        <w:spacing w:before="1"/>
        <w:rPr>
          <w:rFonts w:ascii="Caladea"/>
          <w:b/>
          <w:sz w:val="23"/>
        </w:rPr>
      </w:pPr>
      <w:r>
        <w:rPr/>
        <w:pict>
          <v:group style="position:absolute;margin-left:308.776001pt;margin-top:15.512306pt;width:241pt;height:119.8pt;mso-position-horizontal-relative:page;mso-position-vertical-relative:paragraph;z-index:-15726080;mso-wrap-distance-left:0;mso-wrap-distance-right:0" coordorigin="6176,310" coordsize="4820,2396">
            <v:shape style="position:absolute;left:6175;top:310;width:4820;height:2396" type="#_x0000_t75" stroked="false">
              <v:imagedata r:id="rId16" o:title=""/>
            </v:shape>
            <v:shape style="position:absolute;left:6178;top:312;width:4815;height:2391" type="#_x0000_t202" filled="false" stroked="true" strokeweight=".25pt" strokecolor="#231f20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Caladea"/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adea"/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adea"/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adea"/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adea"/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adea"/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adea"/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adea"/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adea"/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6"/>
                      <w:rPr>
                        <w:rFonts w:ascii="Caladea"/>
                        <w:b/>
                        <w:sz w:val="25"/>
                      </w:rPr>
                    </w:pPr>
                  </w:p>
                  <w:p>
                    <w:pPr>
                      <w:tabs>
                        <w:tab w:pos="2418" w:val="left" w:leader="none"/>
                      </w:tabs>
                      <w:spacing w:before="1"/>
                      <w:ind w:left="-7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FFFFFF"/>
                        <w:spacing w:val="-4"/>
                        <w:sz w:val="16"/>
                        <w:shd w:fill="231F20" w:color="auto" w:val="clear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z w:val="16"/>
                        <w:shd w:fill="231F20" w:color="auto" w:val="clear"/>
                      </w:rPr>
                      <w:t>a</w:t>
                    </w:r>
                    <w:r>
                      <w:rPr>
                        <w:rFonts w:ascii="Arial"/>
                        <w:color w:val="FFFFFF"/>
                        <w:sz w:val="16"/>
                      </w:rPr>
                      <w:tab/>
                    </w:r>
                    <w:r>
                      <w:rPr>
                        <w:rFonts w:ascii="Arial"/>
                        <w:color w:val="FFFFFF"/>
                        <w:sz w:val="16"/>
                        <w:shd w:fill="231F20" w:color="auto" w:val="clear"/>
                      </w:rPr>
                      <w:t>b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line="256" w:lineRule="auto" w:before="63"/>
        <w:ind w:left="257" w:right="327" w:firstLine="0"/>
        <w:jc w:val="center"/>
        <w:rPr>
          <w:rFonts w:ascii="Caladea"/>
          <w:b/>
          <w:sz w:val="16"/>
        </w:rPr>
      </w:pPr>
      <w:r>
        <w:rPr>
          <w:rFonts w:ascii="Caladea"/>
          <w:b/>
          <w:color w:val="231F20"/>
          <w:sz w:val="16"/>
        </w:rPr>
        <w:t>Fig. 6: Transmission electron microscopy images of placebo nanoparticles (a) and ibuprofen-loaded nanoparticles (b)</w:t>
      </w:r>
    </w:p>
    <w:p>
      <w:pPr>
        <w:spacing w:after="0" w:line="256" w:lineRule="auto"/>
        <w:jc w:val="center"/>
        <w:rPr>
          <w:rFonts w:ascii="Caladea"/>
          <w:sz w:val="16"/>
        </w:rPr>
        <w:sectPr>
          <w:type w:val="continuous"/>
          <w:pgSz w:w="11910" w:h="16840"/>
          <w:pgMar w:top="140" w:bottom="280" w:left="800" w:right="800"/>
          <w:cols w:num="2" w:equalWidth="0">
            <w:col w:w="4977" w:space="355"/>
            <w:col w:w="4978"/>
          </w:cols>
        </w:sectPr>
      </w:pPr>
    </w:p>
    <w:p>
      <w:pPr>
        <w:pStyle w:val="BodyText"/>
        <w:rPr>
          <w:rFonts w:ascii="Caladea"/>
          <w:b/>
          <w:sz w:val="20"/>
        </w:rPr>
      </w:pPr>
    </w:p>
    <w:p>
      <w:pPr>
        <w:pStyle w:val="BodyText"/>
        <w:spacing w:before="4" w:after="1"/>
        <w:rPr>
          <w:rFonts w:ascii="Caladea"/>
          <w:b/>
          <w:sz w:val="10"/>
        </w:rPr>
      </w:pPr>
    </w:p>
    <w:p>
      <w:pPr>
        <w:pStyle w:val="BodyText"/>
        <w:ind w:left="5375"/>
        <w:rPr>
          <w:rFonts w:ascii="Caladea"/>
          <w:sz w:val="20"/>
        </w:rPr>
      </w:pPr>
      <w:r>
        <w:rPr>
          <w:rFonts w:ascii="Caladea"/>
          <w:sz w:val="20"/>
        </w:rPr>
        <w:pict>
          <v:group style="width:241pt;height:133.950pt;mso-position-horizontal-relative:char;mso-position-vertical-relative:line" coordorigin="0,0" coordsize="4820,2679">
            <v:shape style="position:absolute;left:76;top:76;width:4685;height:2535" type="#_x0000_t75" stroked="false">
              <v:imagedata r:id="rId17" o:title=""/>
            </v:shape>
            <v:rect style="position:absolute;left:2;top:2;width:4815;height:2674" filled="false" stroked="true" strokeweight=".25pt" strokecolor="#231f20">
              <v:stroke dashstyle="solid"/>
            </v:rect>
          </v:group>
        </w:pict>
      </w:r>
      <w:r>
        <w:rPr>
          <w:rFonts w:ascii="Caladea"/>
          <w:sz w:val="20"/>
        </w:rPr>
      </w:r>
    </w:p>
    <w:p>
      <w:pPr>
        <w:spacing w:after="0"/>
        <w:rPr>
          <w:rFonts w:ascii="Caladea"/>
          <w:sz w:val="20"/>
        </w:rPr>
        <w:sectPr>
          <w:pgSz w:w="11910" w:h="16840"/>
          <w:pgMar w:header="695" w:footer="952" w:top="1080" w:bottom="1140" w:left="800" w:right="800"/>
        </w:sectPr>
      </w:pPr>
    </w:p>
    <w:p>
      <w:pPr>
        <w:pStyle w:val="BodyText"/>
        <w:rPr>
          <w:rFonts w:ascii="Caladea"/>
          <w:b/>
          <w:sz w:val="21"/>
        </w:rPr>
      </w:pPr>
    </w:p>
    <w:p>
      <w:pPr>
        <w:spacing w:line="256" w:lineRule="auto" w:before="0"/>
        <w:ind w:left="968" w:right="38" w:hanging="777"/>
        <w:jc w:val="left"/>
        <w:rPr>
          <w:rFonts w:ascii="Caladea"/>
          <w:b/>
          <w:sz w:val="16"/>
        </w:rPr>
      </w:pPr>
      <w:r>
        <w:rPr/>
        <w:pict>
          <v:group style="position:absolute;margin-left:45.703999pt;margin-top:-148.064011pt;width:241pt;height:143.450pt;mso-position-horizontal-relative:page;mso-position-vertical-relative:paragraph;z-index:15733760" coordorigin="914,-2961" coordsize="4820,2869">
            <v:shape style="position:absolute;left:990;top:-2885;width:4685;height:2688" type="#_x0000_t75" stroked="false">
              <v:imagedata r:id="rId18" o:title=""/>
            </v:shape>
            <v:rect style="position:absolute;left:916;top:-2959;width:4815;height:2864" filled="false" stroked="true" strokeweight=".25pt" strokecolor="#231f20">
              <v:stroke dashstyle="solid"/>
            </v:rect>
            <w10:wrap type="none"/>
          </v:group>
        </w:pict>
      </w:r>
      <w:r>
        <w:rPr>
          <w:rFonts w:ascii="Caladea"/>
          <w:b/>
          <w:color w:val="231F20"/>
          <w:sz w:val="16"/>
        </w:rPr>
        <w:t>Fig.</w:t>
      </w:r>
      <w:r>
        <w:rPr>
          <w:rFonts w:ascii="Caladea"/>
          <w:b/>
          <w:color w:val="231F20"/>
          <w:spacing w:val="-15"/>
          <w:sz w:val="16"/>
        </w:rPr>
        <w:t> </w:t>
      </w:r>
      <w:r>
        <w:rPr>
          <w:rFonts w:ascii="Caladea"/>
          <w:b/>
          <w:color w:val="231F20"/>
          <w:sz w:val="16"/>
        </w:rPr>
        <w:t>7:</w:t>
      </w:r>
      <w:r>
        <w:rPr>
          <w:rFonts w:ascii="Caladea"/>
          <w:b/>
          <w:color w:val="231F20"/>
          <w:spacing w:val="-15"/>
          <w:sz w:val="16"/>
        </w:rPr>
        <w:t> </w:t>
      </w:r>
      <w:r>
        <w:rPr>
          <w:rFonts w:ascii="Caladea"/>
          <w:b/>
          <w:color w:val="231F20"/>
          <w:sz w:val="16"/>
        </w:rPr>
        <w:t>Comparative</w:t>
      </w:r>
      <w:r>
        <w:rPr>
          <w:rFonts w:ascii="Caladea"/>
          <w:b/>
          <w:color w:val="231F20"/>
          <w:spacing w:val="-14"/>
          <w:sz w:val="16"/>
        </w:rPr>
        <w:t> </w:t>
      </w:r>
      <w:r>
        <w:rPr>
          <w:rFonts w:ascii="Caladea"/>
          <w:b/>
          <w:color w:val="231F20"/>
          <w:sz w:val="16"/>
        </w:rPr>
        <w:t>cumulative</w:t>
      </w:r>
      <w:r>
        <w:rPr>
          <w:rFonts w:ascii="Caladea"/>
          <w:b/>
          <w:color w:val="231F20"/>
          <w:spacing w:val="-14"/>
          <w:sz w:val="16"/>
        </w:rPr>
        <w:t> </w:t>
      </w:r>
      <w:r>
        <w:rPr>
          <w:rFonts w:ascii="Caladea"/>
          <w:b/>
          <w:color w:val="231F20"/>
          <w:sz w:val="16"/>
        </w:rPr>
        <w:t>percentage</w:t>
      </w:r>
      <w:r>
        <w:rPr>
          <w:rFonts w:ascii="Caladea"/>
          <w:b/>
          <w:color w:val="231F20"/>
          <w:spacing w:val="-15"/>
          <w:sz w:val="16"/>
        </w:rPr>
        <w:t> </w:t>
      </w:r>
      <w:r>
        <w:rPr>
          <w:rFonts w:ascii="Georgia"/>
          <w:b/>
          <w:i/>
          <w:color w:val="231F20"/>
          <w:sz w:val="16"/>
        </w:rPr>
        <w:t>in</w:t>
      </w:r>
      <w:r>
        <w:rPr>
          <w:rFonts w:ascii="Georgia"/>
          <w:b/>
          <w:i/>
          <w:color w:val="231F20"/>
          <w:spacing w:val="-20"/>
          <w:sz w:val="16"/>
        </w:rPr>
        <w:t> </w:t>
      </w:r>
      <w:r>
        <w:rPr>
          <w:rFonts w:ascii="Georgia"/>
          <w:b/>
          <w:i/>
          <w:color w:val="231F20"/>
          <w:sz w:val="16"/>
        </w:rPr>
        <w:t>vitro</w:t>
      </w:r>
      <w:r>
        <w:rPr>
          <w:rFonts w:ascii="Georgia"/>
          <w:b/>
          <w:i/>
          <w:color w:val="231F20"/>
          <w:spacing w:val="-20"/>
          <w:sz w:val="16"/>
        </w:rPr>
        <w:t> </w:t>
      </w:r>
      <w:r>
        <w:rPr>
          <w:rFonts w:ascii="Caladea"/>
          <w:b/>
          <w:color w:val="231F20"/>
          <w:sz w:val="16"/>
        </w:rPr>
        <w:t>release</w:t>
      </w:r>
      <w:r>
        <w:rPr>
          <w:rFonts w:ascii="Caladea"/>
          <w:b/>
          <w:color w:val="231F20"/>
          <w:spacing w:val="-14"/>
          <w:sz w:val="16"/>
        </w:rPr>
        <w:t> </w:t>
      </w:r>
      <w:r>
        <w:rPr>
          <w:rFonts w:ascii="Caladea"/>
          <w:b/>
          <w:color w:val="231F20"/>
          <w:sz w:val="16"/>
        </w:rPr>
        <w:t>of</w:t>
      </w:r>
      <w:r>
        <w:rPr>
          <w:rFonts w:ascii="Caladea"/>
          <w:b/>
          <w:color w:val="231F20"/>
          <w:spacing w:val="-15"/>
          <w:sz w:val="16"/>
        </w:rPr>
        <w:t> </w:t>
      </w:r>
      <w:r>
        <w:rPr>
          <w:rFonts w:ascii="Caladea"/>
          <w:b/>
          <w:color w:val="231F20"/>
          <w:sz w:val="16"/>
        </w:rPr>
        <w:t>for ibuprofen-loaded solid lipid</w:t>
      </w:r>
      <w:r>
        <w:rPr>
          <w:rFonts w:ascii="Caladea"/>
          <w:b/>
          <w:color w:val="231F20"/>
          <w:spacing w:val="-5"/>
          <w:sz w:val="16"/>
        </w:rPr>
        <w:t> </w:t>
      </w:r>
      <w:r>
        <w:rPr>
          <w:rFonts w:ascii="Caladea"/>
          <w:b/>
          <w:color w:val="231F20"/>
          <w:sz w:val="16"/>
        </w:rPr>
        <w:t>nanoparticles</w:t>
      </w:r>
    </w:p>
    <w:p>
      <w:pPr>
        <w:spacing w:line="256" w:lineRule="auto" w:before="56"/>
        <w:ind w:left="2054" w:right="0" w:hanging="1864"/>
        <w:jc w:val="left"/>
        <w:rPr>
          <w:rFonts w:ascii="Caladea"/>
          <w:b/>
          <w:sz w:val="16"/>
        </w:rPr>
      </w:pPr>
      <w:r>
        <w:rPr/>
        <w:br w:type="column"/>
      </w:r>
      <w:r>
        <w:rPr>
          <w:rFonts w:ascii="Caladea"/>
          <w:b/>
          <w:color w:val="231F20"/>
          <w:sz w:val="16"/>
        </w:rPr>
        <w:t>Fig. 8: Zero-order kinetic release for ibuprofen-loaded solid lipid nanoparticles</w:t>
      </w:r>
    </w:p>
    <w:p>
      <w:pPr>
        <w:spacing w:after="0" w:line="256" w:lineRule="auto"/>
        <w:jc w:val="left"/>
        <w:rPr>
          <w:rFonts w:ascii="Caladea"/>
          <w:sz w:val="16"/>
        </w:rPr>
        <w:sectPr>
          <w:type w:val="continuous"/>
          <w:pgSz w:w="11910" w:h="16840"/>
          <w:pgMar w:top="140" w:bottom="280" w:left="800" w:right="800"/>
          <w:cols w:num="2" w:equalWidth="0">
            <w:col w:w="4896" w:space="326"/>
            <w:col w:w="5088"/>
          </w:cols>
        </w:sectPr>
      </w:pPr>
    </w:p>
    <w:p>
      <w:pPr>
        <w:pStyle w:val="BodyText"/>
        <w:spacing w:before="9"/>
        <w:rPr>
          <w:rFonts w:ascii="Caladea"/>
          <w:b/>
        </w:rPr>
      </w:pPr>
    </w:p>
    <w:p>
      <w:pPr>
        <w:pStyle w:val="BodyText"/>
        <w:spacing w:line="261" w:lineRule="auto" w:before="104"/>
        <w:ind w:left="112" w:right="5371"/>
        <w:jc w:val="both"/>
      </w:pPr>
      <w:r>
        <w:rPr/>
        <w:pict>
          <v:group style="position:absolute;margin-left:308.776001pt;margin-top:-3.78219pt;width:241pt;height:154.7pt;mso-position-horizontal-relative:page;mso-position-vertical-relative:paragraph;z-index:15734272" coordorigin="6176,-76" coordsize="4820,3094">
            <v:shape style="position:absolute;left:6252;top:1;width:4685;height:2959" type="#_x0000_t75" stroked="false">
              <v:imagedata r:id="rId19" o:title=""/>
            </v:shape>
            <v:rect style="position:absolute;left:6178;top:-74;width:4815;height:3089" filled="false" stroked="true" strokeweight=".25pt" strokecolor="#231f20">
              <v:stroke dashstyle="solid"/>
            </v:rect>
            <w10:wrap type="none"/>
          </v:group>
        </w:pict>
      </w:r>
      <w:r>
        <w:rPr>
          <w:color w:val="231F20"/>
          <w:w w:val="85"/>
        </w:rPr>
        <w:t>the</w:t>
      </w:r>
      <w:r>
        <w:rPr>
          <w:color w:val="231F20"/>
          <w:spacing w:val="-9"/>
          <w:w w:val="85"/>
        </w:rPr>
        <w:t> </w:t>
      </w:r>
      <w:r>
        <w:rPr>
          <w:color w:val="231F20"/>
          <w:w w:val="85"/>
        </w:rPr>
        <w:t>slightly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larger</w:t>
      </w:r>
      <w:r>
        <w:rPr>
          <w:color w:val="231F20"/>
          <w:spacing w:val="-9"/>
          <w:w w:val="85"/>
        </w:rPr>
        <w:t> </w:t>
      </w:r>
      <w:r>
        <w:rPr>
          <w:color w:val="231F20"/>
          <w:w w:val="85"/>
        </w:rPr>
        <w:t>particle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sizes</w:t>
      </w:r>
      <w:r>
        <w:rPr>
          <w:color w:val="231F20"/>
          <w:spacing w:val="-9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lower</w:t>
      </w:r>
      <w:r>
        <w:rPr>
          <w:color w:val="231F20"/>
          <w:spacing w:val="-9"/>
          <w:w w:val="85"/>
        </w:rPr>
        <w:t> </w:t>
      </w:r>
      <w:r>
        <w:rPr>
          <w:color w:val="231F20"/>
          <w:w w:val="85"/>
        </w:rPr>
        <w:t>DL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capacity.</w:t>
      </w:r>
      <w:r>
        <w:rPr>
          <w:color w:val="231F20"/>
          <w:spacing w:val="-9"/>
          <w:w w:val="85"/>
        </w:rPr>
        <w:t> </w:t>
      </w:r>
      <w:r>
        <w:rPr>
          <w:color w:val="231F20"/>
          <w:w w:val="85"/>
        </w:rPr>
        <w:t>Similar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results </w:t>
      </w:r>
      <w:r>
        <w:rPr>
          <w:color w:val="231F20"/>
          <w:w w:val="90"/>
        </w:rPr>
        <w:t>were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reported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by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Begum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Krisha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[22],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where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they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prepared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IBU- loaded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polymeric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nanoparticles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with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different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stabilizers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varied </w:t>
      </w:r>
      <w:r>
        <w:rPr>
          <w:color w:val="231F20"/>
          <w:w w:val="85"/>
        </w:rPr>
        <w:t>the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organic: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aqueous</w:t>
      </w:r>
      <w:r>
        <w:rPr>
          <w:color w:val="231F20"/>
          <w:spacing w:val="-9"/>
          <w:w w:val="85"/>
        </w:rPr>
        <w:t> </w:t>
      </w:r>
      <w:r>
        <w:rPr>
          <w:color w:val="231F20"/>
          <w:w w:val="85"/>
        </w:rPr>
        <w:t>ratio.</w:t>
      </w:r>
      <w:r>
        <w:rPr>
          <w:color w:val="231F20"/>
          <w:spacing w:val="-9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9"/>
          <w:w w:val="85"/>
        </w:rPr>
        <w:t> </w:t>
      </w:r>
      <w:r>
        <w:rPr>
          <w:color w:val="231F20"/>
          <w:w w:val="85"/>
        </w:rPr>
        <w:t>study</w:t>
      </w:r>
      <w:r>
        <w:rPr>
          <w:color w:val="231F20"/>
          <w:spacing w:val="-9"/>
          <w:w w:val="85"/>
        </w:rPr>
        <w:t> </w:t>
      </w:r>
      <w:r>
        <w:rPr>
          <w:color w:val="231F20"/>
          <w:w w:val="85"/>
        </w:rPr>
        <w:t>reported</w:t>
      </w:r>
      <w:r>
        <w:rPr>
          <w:color w:val="231F20"/>
          <w:spacing w:val="-9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9"/>
          <w:w w:val="85"/>
        </w:rPr>
        <w:t> </w:t>
      </w:r>
      <w:r>
        <w:rPr>
          <w:color w:val="231F20"/>
          <w:w w:val="85"/>
        </w:rPr>
        <w:t>longer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release</w:t>
      </w:r>
      <w:r>
        <w:rPr>
          <w:color w:val="231F20"/>
          <w:spacing w:val="-9"/>
          <w:w w:val="85"/>
        </w:rPr>
        <w:t> </w:t>
      </w:r>
      <w:r>
        <w:rPr>
          <w:color w:val="231F20"/>
          <w:w w:val="85"/>
        </w:rPr>
        <w:t>profile </w:t>
      </w:r>
      <w:r>
        <w:rPr>
          <w:color w:val="231F20"/>
          <w:w w:val="95"/>
        </w:rPr>
        <w:t>for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higher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ratio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which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was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attributed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higher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entrapment </w:t>
      </w:r>
      <w:r>
        <w:rPr>
          <w:color w:val="231F20"/>
          <w:w w:val="90"/>
        </w:rPr>
        <w:t>efficiency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formulation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partly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due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nature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quantity of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stabilizer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[22].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current</w:t>
      </w:r>
      <w:r>
        <w:rPr>
          <w:color w:val="231F20"/>
          <w:spacing w:val="-20"/>
          <w:w w:val="90"/>
        </w:rPr>
        <w:t> </w:t>
      </w:r>
      <w:r>
        <w:rPr>
          <w:color w:val="231F20"/>
          <w:spacing w:val="-3"/>
          <w:w w:val="90"/>
        </w:rPr>
        <w:t>study,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entrapment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efficiency is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high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coupled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with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low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DL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capacity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making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drug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released </w:t>
      </w:r>
      <w:r>
        <w:rPr>
          <w:color w:val="231F20"/>
          <w:w w:val="95"/>
        </w:rPr>
        <w:t>slowly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over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period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time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[17,19].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PVP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being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hydrophilic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and </w:t>
      </w:r>
      <w:r>
        <w:rPr>
          <w:color w:val="231F20"/>
          <w:w w:val="90"/>
        </w:rPr>
        <w:t>swellable</w:t>
      </w:r>
      <w:r>
        <w:rPr>
          <w:color w:val="231F20"/>
          <w:spacing w:val="-31"/>
          <w:w w:val="90"/>
        </w:rPr>
        <w:t> </w:t>
      </w:r>
      <w:r>
        <w:rPr>
          <w:color w:val="231F20"/>
          <w:spacing w:val="-3"/>
          <w:w w:val="90"/>
        </w:rPr>
        <w:t>polymer,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it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present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on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nanoparticle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surface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which forms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gel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barrier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release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drug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resulting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sustained </w:t>
      </w:r>
      <w:r>
        <w:rPr>
          <w:color w:val="231F20"/>
          <w:w w:val="95"/>
        </w:rPr>
        <w:t>and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controlled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release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formulations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[22,29,30].</w:t>
      </w:r>
    </w:p>
    <w:p>
      <w:pPr>
        <w:spacing w:after="0" w:line="261" w:lineRule="auto"/>
        <w:jc w:val="both"/>
        <w:sectPr>
          <w:type w:val="continuous"/>
          <w:pgSz w:w="11910" w:h="16840"/>
          <w:pgMar w:top="140" w:bottom="280" w:left="800" w:right="800"/>
        </w:sectPr>
      </w:pPr>
    </w:p>
    <w:p>
      <w:pPr>
        <w:pStyle w:val="BodyText"/>
        <w:spacing w:before="2"/>
      </w:pPr>
    </w:p>
    <w:p>
      <w:pPr>
        <w:spacing w:before="0"/>
        <w:ind w:left="112" w:right="0" w:firstLine="0"/>
        <w:jc w:val="both"/>
        <w:rPr>
          <w:rFonts w:ascii="Caladea"/>
          <w:b/>
          <w:sz w:val="16"/>
        </w:rPr>
      </w:pPr>
      <w:r>
        <w:rPr>
          <w:rFonts w:ascii="Georgia"/>
          <w:b/>
          <w:i/>
          <w:color w:val="231F20"/>
          <w:sz w:val="16"/>
        </w:rPr>
        <w:t>In vitro </w:t>
      </w:r>
      <w:r>
        <w:rPr>
          <w:rFonts w:ascii="Caladea"/>
          <w:b/>
          <w:color w:val="231F20"/>
          <w:sz w:val="16"/>
        </w:rPr>
        <w:t>drug release kinetics</w:t>
      </w:r>
    </w:p>
    <w:p>
      <w:pPr>
        <w:pStyle w:val="BodyText"/>
        <w:spacing w:line="261" w:lineRule="auto" w:before="19"/>
        <w:ind w:left="112" w:right="38"/>
        <w:jc w:val="both"/>
      </w:pPr>
      <w:r>
        <w:rPr>
          <w:color w:val="231F20"/>
          <w:spacing w:val="-7"/>
          <w:w w:val="85"/>
        </w:rPr>
        <w:t>To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establish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mathematical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model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drug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release,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experimental data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are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fitted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to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different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kinetic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models.</w:t>
      </w:r>
      <w:r>
        <w:rPr>
          <w:color w:val="231F20"/>
          <w:spacing w:val="-17"/>
          <w:w w:val="85"/>
        </w:rPr>
        <w:t> </w:t>
      </w:r>
      <w:r>
        <w:rPr>
          <w:color w:val="231F20"/>
          <w:spacing w:val="-3"/>
          <w:w w:val="85"/>
        </w:rPr>
        <w:t>Various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mathematical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kinetic models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such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as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zero-order,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first-order,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Higuchi,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Korsmeyer–Peppas,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and Hixson-Crowell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models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are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used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among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others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to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justify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mechanism </w:t>
      </w:r>
      <w:r>
        <w:rPr>
          <w:color w:val="231F20"/>
          <w:w w:val="95"/>
        </w:rPr>
        <w:t>of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drug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release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[20].</w:t>
      </w:r>
    </w:p>
    <w:p>
      <w:pPr>
        <w:pStyle w:val="BodyText"/>
        <w:spacing w:before="5"/>
      </w:pPr>
    </w:p>
    <w:p>
      <w:pPr>
        <w:pStyle w:val="BodyText"/>
        <w:ind w:left="112"/>
      </w:pPr>
      <w:r>
        <w:rPr>
          <w:color w:val="231F20"/>
          <w:w w:val="85"/>
        </w:rPr>
        <w:t>According to the principles of thermodynamics, the zero-order kinetic</w:t>
      </w:r>
    </w:p>
    <w:p>
      <w:pPr>
        <w:pStyle w:val="BodyText"/>
        <w:spacing w:before="17"/>
        <w:ind w:left="112"/>
      </w:pPr>
      <w:r>
        <w:rPr>
          <w:color w:val="231F20"/>
          <w:w w:val="95"/>
        </w:rPr>
        <w:t>can be represented by the following equation [20,29,30].</w:t>
      </w:r>
    </w:p>
    <w:p>
      <w:pPr>
        <w:pStyle w:val="BodyText"/>
        <w:spacing w:before="9"/>
        <w:rPr>
          <w:sz w:val="17"/>
        </w:rPr>
      </w:pPr>
    </w:p>
    <w:p>
      <w:pPr>
        <w:spacing w:before="0"/>
        <w:ind w:left="112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C</w:t>
      </w:r>
      <w:r>
        <w:rPr>
          <w:color w:val="231F20"/>
          <w:w w:val="90"/>
          <w:position w:val="-4"/>
          <w:sz w:val="9"/>
        </w:rPr>
        <w:t>t</w:t>
      </w:r>
      <w:r>
        <w:rPr>
          <w:color w:val="231F20"/>
          <w:w w:val="90"/>
          <w:sz w:val="16"/>
        </w:rPr>
        <w:t>=C</w:t>
      </w:r>
      <w:r>
        <w:rPr>
          <w:color w:val="231F20"/>
          <w:w w:val="90"/>
          <w:position w:val="-4"/>
          <w:sz w:val="9"/>
        </w:rPr>
        <w:t>0</w:t>
      </w:r>
      <w:r>
        <w:rPr>
          <w:color w:val="231F20"/>
          <w:w w:val="90"/>
          <w:sz w:val="16"/>
        </w:rPr>
        <w:t>+K</w:t>
      </w:r>
      <w:r>
        <w:rPr>
          <w:color w:val="231F20"/>
          <w:w w:val="90"/>
          <w:position w:val="-4"/>
          <w:sz w:val="9"/>
        </w:rPr>
        <w:t>0</w:t>
      </w:r>
      <w:r>
        <w:rPr>
          <w:color w:val="231F20"/>
          <w:w w:val="90"/>
          <w:sz w:val="16"/>
        </w:rPr>
        <w:t>t</w:t>
      </w:r>
    </w:p>
    <w:p>
      <w:pPr>
        <w:pStyle w:val="BodyText"/>
        <w:spacing w:line="211" w:lineRule="exact" w:before="173"/>
        <w:ind w:left="112"/>
      </w:pPr>
      <w:r>
        <w:rPr>
          <w:color w:val="231F20"/>
          <w:w w:val="90"/>
        </w:rPr>
        <w:t>C</w:t>
      </w:r>
      <w:r>
        <w:rPr>
          <w:color w:val="231F20"/>
          <w:w w:val="90"/>
          <w:position w:val="-4"/>
          <w:sz w:val="9"/>
        </w:rPr>
        <w:t>t</w:t>
      </w:r>
      <w:r>
        <w:rPr>
          <w:color w:val="231F20"/>
          <w:spacing w:val="-15"/>
          <w:w w:val="90"/>
          <w:position w:val="-4"/>
          <w:sz w:val="9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35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34"/>
          <w:w w:val="90"/>
        </w:rPr>
        <w:t> </w:t>
      </w:r>
      <w:r>
        <w:rPr>
          <w:color w:val="231F20"/>
          <w:w w:val="90"/>
        </w:rPr>
        <w:t>amount</w:t>
      </w:r>
      <w:r>
        <w:rPr>
          <w:color w:val="231F20"/>
          <w:spacing w:val="-35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35"/>
          <w:w w:val="90"/>
        </w:rPr>
        <w:t> </w:t>
      </w:r>
      <w:r>
        <w:rPr>
          <w:color w:val="231F20"/>
          <w:w w:val="90"/>
        </w:rPr>
        <w:t>drug</w:t>
      </w:r>
      <w:r>
        <w:rPr>
          <w:color w:val="231F20"/>
          <w:spacing w:val="-34"/>
          <w:w w:val="90"/>
        </w:rPr>
        <w:t> </w:t>
      </w:r>
      <w:r>
        <w:rPr>
          <w:color w:val="231F20"/>
          <w:w w:val="90"/>
        </w:rPr>
        <w:t>released</w:t>
      </w:r>
      <w:r>
        <w:rPr>
          <w:color w:val="231F20"/>
          <w:spacing w:val="-35"/>
          <w:w w:val="90"/>
        </w:rPr>
        <w:t> </w:t>
      </w:r>
      <w:r>
        <w:rPr>
          <w:color w:val="231F20"/>
          <w:w w:val="90"/>
        </w:rPr>
        <w:t>at</w:t>
      </w:r>
      <w:r>
        <w:rPr>
          <w:color w:val="231F20"/>
          <w:spacing w:val="-35"/>
          <w:w w:val="90"/>
        </w:rPr>
        <w:t> </w:t>
      </w:r>
      <w:r>
        <w:rPr>
          <w:color w:val="231F20"/>
          <w:w w:val="90"/>
        </w:rPr>
        <w:t>time</w:t>
      </w:r>
      <w:r>
        <w:rPr>
          <w:color w:val="231F20"/>
          <w:spacing w:val="-34"/>
          <w:w w:val="90"/>
        </w:rPr>
        <w:t> </w:t>
      </w:r>
      <w:r>
        <w:rPr>
          <w:color w:val="231F20"/>
          <w:w w:val="90"/>
        </w:rPr>
        <w:t>t,</w:t>
      </w:r>
      <w:r>
        <w:rPr>
          <w:color w:val="231F20"/>
          <w:spacing w:val="-35"/>
          <w:w w:val="90"/>
        </w:rPr>
        <w:t> </w:t>
      </w:r>
      <w:r>
        <w:rPr>
          <w:color w:val="231F20"/>
          <w:w w:val="90"/>
        </w:rPr>
        <w:t>C</w:t>
      </w:r>
      <w:r>
        <w:rPr>
          <w:color w:val="231F20"/>
          <w:w w:val="90"/>
          <w:position w:val="-4"/>
          <w:sz w:val="9"/>
        </w:rPr>
        <w:t>0</w:t>
      </w:r>
      <w:r>
        <w:rPr>
          <w:color w:val="231F20"/>
          <w:spacing w:val="-15"/>
          <w:w w:val="90"/>
          <w:position w:val="-4"/>
          <w:sz w:val="9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34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35"/>
          <w:w w:val="90"/>
        </w:rPr>
        <w:t> </w:t>
      </w:r>
      <w:r>
        <w:rPr>
          <w:color w:val="231F20"/>
          <w:w w:val="90"/>
        </w:rPr>
        <w:t>initial</w:t>
      </w:r>
      <w:r>
        <w:rPr>
          <w:color w:val="231F20"/>
          <w:spacing w:val="-34"/>
          <w:w w:val="90"/>
        </w:rPr>
        <w:t> </w:t>
      </w:r>
      <w:r>
        <w:rPr>
          <w:color w:val="231F20"/>
          <w:w w:val="90"/>
        </w:rPr>
        <w:t>concentration</w:t>
      </w:r>
    </w:p>
    <w:p>
      <w:pPr>
        <w:pStyle w:val="BodyText"/>
        <w:spacing w:line="211" w:lineRule="exact"/>
        <w:ind w:left="112"/>
      </w:pPr>
      <w:r>
        <w:rPr>
          <w:color w:val="231F20"/>
          <w:w w:val="95"/>
        </w:rPr>
        <w:t>of drug at time t=0, K</w:t>
      </w:r>
      <w:r>
        <w:rPr>
          <w:color w:val="231F20"/>
          <w:w w:val="95"/>
          <w:position w:val="-4"/>
          <w:sz w:val="9"/>
        </w:rPr>
        <w:t>0 </w:t>
      </w:r>
      <w:r>
        <w:rPr>
          <w:color w:val="231F20"/>
          <w:w w:val="95"/>
        </w:rPr>
        <w:t>is the zero-order rate constant.</w:t>
      </w:r>
    </w:p>
    <w:p>
      <w:pPr>
        <w:pStyle w:val="BodyText"/>
        <w:spacing w:line="261" w:lineRule="auto" w:before="174"/>
        <w:ind w:left="112" w:right="38"/>
        <w:jc w:val="both"/>
      </w:pPr>
      <w:r>
        <w:rPr>
          <w:color w:val="231F20"/>
          <w:w w:val="95"/>
        </w:rPr>
        <w:t>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system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defined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be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zero-order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kinetics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if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process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of </w:t>
      </w:r>
      <w:r>
        <w:rPr>
          <w:color w:val="231F20"/>
          <w:w w:val="90"/>
        </w:rPr>
        <w:t>constant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drug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release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from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matrix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independent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drug </w:t>
      </w:r>
      <w:r>
        <w:rPr>
          <w:color w:val="231F20"/>
          <w:w w:val="85"/>
        </w:rPr>
        <w:t>concentration.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Hence,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to</w:t>
      </w:r>
      <w:r>
        <w:rPr>
          <w:color w:val="231F20"/>
          <w:spacing w:val="-9"/>
          <w:w w:val="85"/>
        </w:rPr>
        <w:t> </w:t>
      </w:r>
      <w:r>
        <w:rPr>
          <w:color w:val="231F20"/>
          <w:w w:val="85"/>
        </w:rPr>
        <w:t>study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9"/>
          <w:w w:val="85"/>
        </w:rPr>
        <w:t> </w:t>
      </w:r>
      <w:r>
        <w:rPr>
          <w:color w:val="231F20"/>
          <w:w w:val="85"/>
        </w:rPr>
        <w:t>drug</w:t>
      </w:r>
      <w:r>
        <w:rPr>
          <w:color w:val="231F20"/>
          <w:spacing w:val="-9"/>
          <w:w w:val="85"/>
        </w:rPr>
        <w:t> </w:t>
      </w:r>
      <w:r>
        <w:rPr>
          <w:color w:val="231F20"/>
          <w:w w:val="85"/>
        </w:rPr>
        <w:t>release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kinetics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data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obtained </w:t>
      </w:r>
      <w:r>
        <w:rPr>
          <w:color w:val="231F20"/>
          <w:w w:val="90"/>
        </w:rPr>
        <w:t>from</w:t>
      </w:r>
      <w:r>
        <w:rPr>
          <w:color w:val="231F20"/>
          <w:spacing w:val="-15"/>
          <w:w w:val="90"/>
        </w:rPr>
        <w:t> </w:t>
      </w:r>
      <w:r>
        <w:rPr>
          <w:rFonts w:ascii="Times New Roman"/>
          <w:i/>
          <w:color w:val="231F20"/>
          <w:w w:val="90"/>
        </w:rPr>
        <w:t>in</w:t>
      </w:r>
      <w:r>
        <w:rPr>
          <w:rFonts w:ascii="Times New Roman"/>
          <w:i/>
          <w:color w:val="231F20"/>
          <w:spacing w:val="-5"/>
          <w:w w:val="90"/>
        </w:rPr>
        <w:t> </w:t>
      </w:r>
      <w:r>
        <w:rPr>
          <w:rFonts w:ascii="Times New Roman"/>
          <w:i/>
          <w:color w:val="231F20"/>
          <w:w w:val="90"/>
        </w:rPr>
        <w:t>vitro</w:t>
      </w:r>
      <w:r>
        <w:rPr>
          <w:rFonts w:ascii="Times New Roman"/>
          <w:i/>
          <w:color w:val="231F20"/>
          <w:spacing w:val="-5"/>
          <w:w w:val="90"/>
        </w:rPr>
        <w:t> </w:t>
      </w:r>
      <w:r>
        <w:rPr>
          <w:color w:val="231F20"/>
          <w:w w:val="90"/>
        </w:rPr>
        <w:t>drug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release,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obtained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data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are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plotted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against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time </w:t>
      </w:r>
      <w:r>
        <w:rPr>
          <w:color w:val="231F20"/>
          <w:w w:val="95"/>
        </w:rPr>
        <w:t>(cumulative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drug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release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vs.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time).</w:t>
      </w:r>
    </w:p>
    <w:p>
      <w:pPr>
        <w:pStyle w:val="BodyText"/>
        <w:spacing w:before="4"/>
      </w:pPr>
    </w:p>
    <w:p>
      <w:pPr>
        <w:pStyle w:val="BodyText"/>
        <w:spacing w:line="261" w:lineRule="auto"/>
        <w:ind w:left="112" w:right="38"/>
        <w:jc w:val="both"/>
      </w:pP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slope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above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plot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indicates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zero-order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rate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constant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and the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correlation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coefficient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above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plot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will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3"/>
          <w:w w:val="90"/>
        </w:rPr>
        <w:t>give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information whether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drug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release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follows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zero-order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kinetics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or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not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[29,30]. </w:t>
      </w:r>
      <w:r>
        <w:rPr>
          <w:color w:val="231F20"/>
          <w:w w:val="85"/>
        </w:rPr>
        <w:t>This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model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was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thus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applied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to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release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profile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IBU-loaded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SLNs, </w:t>
      </w:r>
      <w:r>
        <w:rPr>
          <w:color w:val="231F20"/>
          <w:w w:val="90"/>
        </w:rPr>
        <w:t>and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evaluation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was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done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graphical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presentation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(Fig.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8).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The obtained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analysis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indicates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that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drug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release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IBU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from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matrix </w:t>
      </w:r>
      <w:r>
        <w:rPr>
          <w:color w:val="231F20"/>
          <w:w w:val="85"/>
        </w:rPr>
        <w:t>system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does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not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follow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principle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zero-order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release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kinetics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due </w:t>
      </w:r>
      <w:r>
        <w:rPr>
          <w:color w:val="231F20"/>
          <w:w w:val="90"/>
        </w:rPr>
        <w:t>to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lower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values</w:t>
      </w:r>
      <w:r>
        <w:rPr>
          <w:color w:val="231F20"/>
          <w:spacing w:val="-32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R</w:t>
      </w:r>
      <w:r>
        <w:rPr>
          <w:color w:val="231F20"/>
          <w:w w:val="90"/>
          <w:position w:val="5"/>
          <w:sz w:val="9"/>
        </w:rPr>
        <w:t>2</w:t>
      </w:r>
      <w:r>
        <w:rPr>
          <w:color w:val="231F20"/>
          <w:spacing w:val="-13"/>
          <w:w w:val="90"/>
          <w:position w:val="5"/>
          <w:sz w:val="9"/>
        </w:rPr>
        <w:t> </w:t>
      </w:r>
      <w:r>
        <w:rPr>
          <w:color w:val="231F20"/>
          <w:w w:val="90"/>
        </w:rPr>
        <w:t>(R</w:t>
      </w:r>
      <w:r>
        <w:rPr>
          <w:color w:val="231F20"/>
          <w:w w:val="90"/>
          <w:position w:val="5"/>
          <w:sz w:val="9"/>
        </w:rPr>
        <w:t>2</w:t>
      </w:r>
      <w:r>
        <w:rPr>
          <w:color w:val="231F20"/>
          <w:w w:val="90"/>
        </w:rPr>
        <w:t>=0.764</w:t>
      </w:r>
      <w:r>
        <w:rPr>
          <w:color w:val="231F20"/>
          <w:spacing w:val="-32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formulation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F2</w:t>
      </w:r>
      <w:r>
        <w:rPr>
          <w:color w:val="231F20"/>
          <w:spacing w:val="-32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R</w:t>
      </w:r>
      <w:r>
        <w:rPr>
          <w:color w:val="231F20"/>
          <w:w w:val="90"/>
          <w:position w:val="5"/>
          <w:sz w:val="9"/>
        </w:rPr>
        <w:t>2</w:t>
      </w:r>
      <w:r>
        <w:rPr>
          <w:color w:val="231F20"/>
          <w:w w:val="90"/>
        </w:rPr>
        <w:t>=0.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0.853 </w:t>
      </w:r>
      <w:r>
        <w:rPr>
          <w:color w:val="231F20"/>
          <w:w w:val="95"/>
        </w:rPr>
        <w:t>for formulation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F3).</w:t>
      </w:r>
    </w:p>
    <w:p>
      <w:pPr>
        <w:pStyle w:val="BodyText"/>
        <w:spacing w:before="5"/>
      </w:pPr>
    </w:p>
    <w:p>
      <w:pPr>
        <w:pStyle w:val="BodyText"/>
        <w:ind w:left="112"/>
      </w:pPr>
      <w:r>
        <w:rPr>
          <w:color w:val="231F20"/>
          <w:w w:val="85"/>
        </w:rPr>
        <w:t>The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drug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release</w:t>
      </w:r>
      <w:r>
        <w:rPr>
          <w:color w:val="231F20"/>
          <w:spacing w:val="-6"/>
          <w:w w:val="85"/>
        </w:rPr>
        <w:t> </w:t>
      </w:r>
      <w:r>
        <w:rPr>
          <w:color w:val="231F20"/>
          <w:w w:val="85"/>
        </w:rPr>
        <w:t>which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follows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first-order</w:t>
      </w:r>
      <w:r>
        <w:rPr>
          <w:color w:val="231F20"/>
          <w:spacing w:val="-6"/>
          <w:w w:val="85"/>
        </w:rPr>
        <w:t> </w:t>
      </w:r>
      <w:r>
        <w:rPr>
          <w:color w:val="231F20"/>
          <w:w w:val="85"/>
        </w:rPr>
        <w:t>kinetics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can</w:t>
      </w:r>
      <w:r>
        <w:rPr>
          <w:color w:val="231F20"/>
          <w:spacing w:val="-6"/>
          <w:w w:val="85"/>
        </w:rPr>
        <w:t> </w:t>
      </w:r>
      <w:r>
        <w:rPr>
          <w:color w:val="231F20"/>
          <w:w w:val="85"/>
        </w:rPr>
        <w:t>be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represented</w:t>
      </w:r>
    </w:p>
    <w:p>
      <w:pPr>
        <w:pStyle w:val="BodyText"/>
        <w:spacing w:before="17"/>
        <w:ind w:left="112"/>
      </w:pPr>
      <w:r>
        <w:rPr>
          <w:color w:val="231F20"/>
          <w:w w:val="95"/>
        </w:rPr>
        <w:t>by the equation [29-31].</w:t>
      </w:r>
    </w:p>
    <w:p>
      <w:pPr>
        <w:pStyle w:val="BodyText"/>
        <w:spacing w:before="9"/>
        <w:rPr>
          <w:sz w:val="17"/>
        </w:rPr>
      </w:pPr>
    </w:p>
    <w:p>
      <w:pPr>
        <w:pStyle w:val="BodyText"/>
        <w:spacing w:line="211" w:lineRule="exact"/>
        <w:ind w:left="112"/>
      </w:pPr>
      <w:r>
        <w:rPr>
          <w:color w:val="231F20"/>
          <w:w w:val="95"/>
        </w:rPr>
        <w:t>Log C=Log C</w:t>
      </w:r>
      <w:r>
        <w:rPr>
          <w:color w:val="231F20"/>
          <w:w w:val="95"/>
          <w:position w:val="-4"/>
          <w:sz w:val="9"/>
        </w:rPr>
        <w:t>0</w:t>
      </w:r>
      <w:r>
        <w:rPr>
          <w:color w:val="231F20"/>
          <w:w w:val="95"/>
        </w:rPr>
        <w:t>–K1t/2.303.</w:t>
      </w:r>
    </w:p>
    <w:p>
      <w:pPr>
        <w:pStyle w:val="BodyText"/>
        <w:spacing w:line="203" w:lineRule="exact"/>
        <w:ind w:left="112"/>
      </w:pPr>
      <w:r>
        <w:rPr>
          <w:color w:val="231F20"/>
          <w:w w:val="95"/>
        </w:rPr>
        <w:t>K</w:t>
      </w:r>
      <w:r>
        <w:rPr>
          <w:color w:val="231F20"/>
          <w:w w:val="95"/>
          <w:position w:val="-4"/>
          <w:sz w:val="9"/>
        </w:rPr>
        <w:t>1 </w:t>
      </w:r>
      <w:r>
        <w:rPr>
          <w:color w:val="231F20"/>
          <w:w w:val="95"/>
        </w:rPr>
        <w:t>is the 1</w:t>
      </w:r>
      <w:r>
        <w:rPr>
          <w:color w:val="231F20"/>
          <w:w w:val="95"/>
          <w:position w:val="5"/>
          <w:sz w:val="9"/>
        </w:rPr>
        <w:t>st </w:t>
      </w:r>
      <w:r>
        <w:rPr>
          <w:color w:val="231F20"/>
          <w:w w:val="95"/>
        </w:rPr>
        <w:t>order rate equation.</w:t>
      </w:r>
    </w:p>
    <w:p>
      <w:pPr>
        <w:pStyle w:val="BodyText"/>
        <w:spacing w:line="203" w:lineRule="exact"/>
        <w:ind w:left="112"/>
      </w:pPr>
      <w:r>
        <w:rPr>
          <w:color w:val="231F20"/>
          <w:w w:val="95"/>
        </w:rPr>
        <w:t>C</w:t>
      </w:r>
      <w:r>
        <w:rPr>
          <w:color w:val="231F20"/>
          <w:w w:val="95"/>
          <w:position w:val="-4"/>
          <w:sz w:val="9"/>
        </w:rPr>
        <w:t>0 </w:t>
      </w:r>
      <w:r>
        <w:rPr>
          <w:color w:val="231F20"/>
          <w:w w:val="95"/>
        </w:rPr>
        <w:t>is the initial concentration of the drug.</w:t>
      </w:r>
    </w:p>
    <w:p>
      <w:pPr>
        <w:pStyle w:val="BodyText"/>
        <w:spacing w:line="178" w:lineRule="exact"/>
        <w:ind w:left="112"/>
      </w:pPr>
      <w:r>
        <w:rPr>
          <w:color w:val="231F20"/>
          <w:w w:val="95"/>
        </w:rPr>
        <w:t>C is the percentage of the drug remaining at time t.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Heading2"/>
        <w:spacing w:line="256" w:lineRule="auto" w:before="151"/>
        <w:ind w:left="2015" w:right="166" w:hanging="1830"/>
      </w:pPr>
      <w:r>
        <w:rPr>
          <w:color w:val="231F20"/>
        </w:rPr>
        <w:t>Fig. 9: First-order kinetic release of ibuprofen-loaded solid lipid nanoparticles</w:t>
      </w:r>
    </w:p>
    <w:p>
      <w:pPr>
        <w:pStyle w:val="BodyText"/>
        <w:spacing w:before="5"/>
        <w:rPr>
          <w:rFonts w:ascii="Caladea"/>
          <w:b/>
          <w:sz w:val="24"/>
        </w:rPr>
      </w:pPr>
    </w:p>
    <w:p>
      <w:pPr>
        <w:pStyle w:val="BodyText"/>
        <w:spacing w:line="256" w:lineRule="auto"/>
        <w:ind w:left="112" w:right="109"/>
        <w:jc w:val="both"/>
      </w:pP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drug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release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kinetics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can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be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studied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by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obtaining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data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from </w:t>
      </w:r>
      <w:r>
        <w:rPr>
          <w:color w:val="231F20"/>
          <w:w w:val="90"/>
        </w:rPr>
        <w:t>the</w:t>
      </w:r>
      <w:r>
        <w:rPr>
          <w:color w:val="231F20"/>
          <w:spacing w:val="-20"/>
          <w:w w:val="90"/>
        </w:rPr>
        <w:t> </w:t>
      </w:r>
      <w:r>
        <w:rPr>
          <w:rFonts w:ascii="Times New Roman"/>
          <w:i/>
          <w:color w:val="231F20"/>
          <w:w w:val="90"/>
        </w:rPr>
        <w:t>in</w:t>
      </w:r>
      <w:r>
        <w:rPr>
          <w:rFonts w:ascii="Times New Roman"/>
          <w:i/>
          <w:color w:val="231F20"/>
          <w:spacing w:val="-9"/>
          <w:w w:val="90"/>
        </w:rPr>
        <w:t> </w:t>
      </w:r>
      <w:r>
        <w:rPr>
          <w:rFonts w:ascii="Times New Roman"/>
          <w:i/>
          <w:color w:val="231F20"/>
          <w:w w:val="90"/>
        </w:rPr>
        <w:t>vitro</w:t>
      </w:r>
      <w:r>
        <w:rPr>
          <w:rFonts w:ascii="Times New Roman"/>
          <w:i/>
          <w:color w:val="231F20"/>
          <w:spacing w:val="-10"/>
          <w:w w:val="90"/>
        </w:rPr>
        <w:t> </w:t>
      </w:r>
      <w:r>
        <w:rPr>
          <w:color w:val="231F20"/>
          <w:w w:val="90"/>
        </w:rPr>
        <w:t>release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plotting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same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against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time.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graph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will be of the log percentage of drug remaining versus time where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the slope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plot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gives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first-order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rate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constant.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correlation coefficient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plot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will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provide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information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that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will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useful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to conclude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whether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release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obeys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first-order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kinetics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[30,31].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This model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was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thus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applied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release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profile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IBU-loaded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SLNs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and </w:t>
      </w:r>
      <w:r>
        <w:rPr>
          <w:color w:val="231F20"/>
          <w:w w:val="95"/>
        </w:rPr>
        <w:t>the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evaluation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graphically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represented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Fig.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9.</w:t>
      </w:r>
    </w:p>
    <w:p>
      <w:pPr>
        <w:pStyle w:val="BodyText"/>
        <w:spacing w:before="9"/>
      </w:pPr>
    </w:p>
    <w:p>
      <w:pPr>
        <w:pStyle w:val="BodyText"/>
        <w:spacing w:line="256" w:lineRule="auto"/>
        <w:ind w:left="112" w:right="109"/>
        <w:jc w:val="both"/>
      </w:pPr>
      <w:r>
        <w:rPr>
          <w:color w:val="231F20"/>
          <w:spacing w:val="-3"/>
          <w:w w:val="95"/>
        </w:rPr>
        <w:t>From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data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obtained,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it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evident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that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IBU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release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from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both </w:t>
      </w:r>
      <w:r>
        <w:rPr>
          <w:color w:val="231F20"/>
          <w:spacing w:val="-2"/>
          <w:w w:val="90"/>
        </w:rPr>
        <w:t>formulations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(F2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F3)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from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matrix</w:t>
      </w:r>
      <w:r>
        <w:rPr>
          <w:color w:val="231F20"/>
          <w:spacing w:val="-25"/>
          <w:w w:val="90"/>
        </w:rPr>
        <w:t> </w:t>
      </w:r>
      <w:r>
        <w:rPr>
          <w:color w:val="231F20"/>
          <w:spacing w:val="-3"/>
          <w:w w:val="90"/>
        </w:rPr>
        <w:t>follows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principle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5"/>
          <w:w w:val="90"/>
        </w:rPr>
        <w:t> </w:t>
      </w:r>
      <w:r>
        <w:rPr>
          <w:color w:val="231F20"/>
          <w:spacing w:val="-2"/>
          <w:w w:val="90"/>
        </w:rPr>
        <w:t>first- </w:t>
      </w:r>
      <w:r>
        <w:rPr>
          <w:color w:val="231F20"/>
          <w:w w:val="85"/>
        </w:rPr>
        <w:t>order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release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kinetics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27"/>
          <w:w w:val="85"/>
        </w:rPr>
        <w:t> </w:t>
      </w:r>
      <w:r>
        <w:rPr>
          <w:color w:val="231F20"/>
          <w:spacing w:val="-3"/>
          <w:w w:val="85"/>
        </w:rPr>
        <w:t>indicative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higher</w:t>
      </w:r>
      <w:r>
        <w:rPr>
          <w:color w:val="231F20"/>
          <w:spacing w:val="-27"/>
          <w:w w:val="85"/>
        </w:rPr>
        <w:t> </w:t>
      </w:r>
      <w:r>
        <w:rPr>
          <w:color w:val="231F20"/>
          <w:spacing w:val="-3"/>
          <w:w w:val="85"/>
        </w:rPr>
        <w:t>values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28"/>
          <w:w w:val="85"/>
        </w:rPr>
        <w:t> </w:t>
      </w:r>
      <w:r>
        <w:rPr>
          <w:color w:val="231F20"/>
          <w:w w:val="85"/>
        </w:rPr>
        <w:t>coefficient </w:t>
      </w:r>
      <w:r>
        <w:rPr>
          <w:color w:val="231F20"/>
          <w:w w:val="90"/>
        </w:rPr>
        <w:t>of correlation (R</w:t>
      </w:r>
      <w:r>
        <w:rPr>
          <w:color w:val="231F20"/>
          <w:w w:val="90"/>
          <w:position w:val="5"/>
          <w:sz w:val="9"/>
        </w:rPr>
        <w:t>2 </w:t>
      </w:r>
      <w:r>
        <w:rPr>
          <w:color w:val="231F20"/>
          <w:w w:val="90"/>
        </w:rPr>
        <w:t>of 0.995 and</w:t>
      </w:r>
      <w:r>
        <w:rPr>
          <w:color w:val="231F20"/>
          <w:spacing w:val="-35"/>
          <w:w w:val="90"/>
        </w:rPr>
        <w:t> </w:t>
      </w:r>
      <w:r>
        <w:rPr>
          <w:color w:val="231F20"/>
          <w:w w:val="90"/>
        </w:rPr>
        <w:t>0.985, </w:t>
      </w:r>
      <w:r>
        <w:rPr>
          <w:color w:val="231F20"/>
          <w:spacing w:val="-3"/>
          <w:w w:val="90"/>
        </w:rPr>
        <w:t>respectively). </w:t>
      </w:r>
      <w:r>
        <w:rPr>
          <w:color w:val="231F20"/>
          <w:w w:val="90"/>
        </w:rPr>
        <w:t>This </w:t>
      </w:r>
      <w:r>
        <w:rPr>
          <w:color w:val="231F20"/>
          <w:spacing w:val="-3"/>
          <w:w w:val="90"/>
        </w:rPr>
        <w:t>technically </w:t>
      </w:r>
      <w:r>
        <w:rPr>
          <w:color w:val="231F20"/>
          <w:w w:val="85"/>
        </w:rPr>
        <w:t>means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that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IBU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release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from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matrix</w:t>
      </w:r>
      <w:r>
        <w:rPr>
          <w:color w:val="231F20"/>
          <w:spacing w:val="-25"/>
          <w:w w:val="85"/>
        </w:rPr>
        <w:t> </w:t>
      </w:r>
      <w:r>
        <w:rPr>
          <w:color w:val="231F20"/>
          <w:spacing w:val="-3"/>
          <w:w w:val="85"/>
        </w:rPr>
        <w:t>system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nanoparticles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is </w:t>
      </w:r>
      <w:r>
        <w:rPr>
          <w:color w:val="231F20"/>
          <w:w w:val="90"/>
        </w:rPr>
        <w:t>dependent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on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> </w:t>
      </w:r>
      <w:r>
        <w:rPr>
          <w:color w:val="231F20"/>
          <w:spacing w:val="-3"/>
          <w:w w:val="90"/>
        </w:rPr>
        <w:t>concentration</w:t>
      </w:r>
      <w:r>
        <w:rPr>
          <w:color w:val="231F20"/>
          <w:spacing w:val="-28"/>
          <w:w w:val="90"/>
        </w:rPr>
        <w:t> </w:t>
      </w:r>
      <w:r>
        <w:rPr>
          <w:color w:val="231F20"/>
          <w:spacing w:val="-3"/>
          <w:w w:val="90"/>
        </w:rPr>
        <w:t>present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within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nanoparticles.</w:t>
      </w:r>
    </w:p>
    <w:p>
      <w:pPr>
        <w:pStyle w:val="BodyText"/>
        <w:spacing w:before="8"/>
      </w:pPr>
    </w:p>
    <w:p>
      <w:pPr>
        <w:pStyle w:val="BodyText"/>
        <w:spacing w:line="256" w:lineRule="auto"/>
        <w:ind w:left="112" w:right="108"/>
        <w:jc w:val="both"/>
      </w:pPr>
      <w:r>
        <w:rPr>
          <w:color w:val="231F20"/>
          <w:w w:val="95"/>
        </w:rPr>
        <w:t>Higuchi developed several theoretical models to describe the </w:t>
      </w:r>
      <w:r>
        <w:rPr>
          <w:color w:val="231F20"/>
          <w:w w:val="90"/>
        </w:rPr>
        <w:t>release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rate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water-soluble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poorly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soluble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drugs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from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matrix </w:t>
      </w:r>
      <w:r>
        <w:rPr>
          <w:color w:val="231F20"/>
          <w:w w:val="85"/>
        </w:rPr>
        <w:t>systems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[32].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Several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studies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have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used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Higuchi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model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to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interpret experimental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drug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release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from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solid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dispersions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[20,33,].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release experimental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data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obtained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were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fitted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into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Higuchi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model,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the </w:t>
      </w:r>
      <w:r>
        <w:rPr>
          <w:color w:val="231F20"/>
          <w:w w:val="95"/>
        </w:rPr>
        <w:t>graph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shown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Fig.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10.</w:t>
      </w:r>
    </w:p>
    <w:p>
      <w:pPr>
        <w:pStyle w:val="BodyText"/>
        <w:spacing w:before="8"/>
      </w:pPr>
    </w:p>
    <w:p>
      <w:pPr>
        <w:pStyle w:val="BodyText"/>
        <w:spacing w:line="256" w:lineRule="auto"/>
        <w:ind w:left="112" w:right="109"/>
        <w:jc w:val="both"/>
      </w:pPr>
      <w:r>
        <w:rPr>
          <w:color w:val="231F20"/>
          <w:w w:val="95"/>
        </w:rPr>
        <w:t>The results indicate that the two formulations best fitted the </w:t>
      </w:r>
      <w:r>
        <w:rPr>
          <w:color w:val="231F20"/>
          <w:w w:val="85"/>
        </w:rPr>
        <w:t>Higuchi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square</w:t>
      </w:r>
      <w:r>
        <w:rPr>
          <w:color w:val="231F20"/>
          <w:spacing w:val="-6"/>
          <w:w w:val="85"/>
        </w:rPr>
        <w:t> </w:t>
      </w:r>
      <w:r>
        <w:rPr>
          <w:color w:val="231F20"/>
          <w:w w:val="85"/>
        </w:rPr>
        <w:t>root</w:t>
      </w:r>
      <w:r>
        <w:rPr>
          <w:color w:val="231F20"/>
          <w:spacing w:val="-6"/>
          <w:w w:val="85"/>
        </w:rPr>
        <w:t> </w:t>
      </w:r>
      <w:r>
        <w:rPr>
          <w:color w:val="231F20"/>
          <w:w w:val="85"/>
        </w:rPr>
        <w:t>model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6"/>
          <w:w w:val="85"/>
        </w:rPr>
        <w:t> </w:t>
      </w:r>
      <w:r>
        <w:rPr>
          <w:color w:val="231F20"/>
          <w:w w:val="85"/>
        </w:rPr>
        <w:t>followed</w:t>
      </w:r>
      <w:r>
        <w:rPr>
          <w:color w:val="231F20"/>
          <w:spacing w:val="-6"/>
          <w:w w:val="85"/>
        </w:rPr>
        <w:t> </w:t>
      </w:r>
      <w:r>
        <w:rPr>
          <w:color w:val="231F20"/>
          <w:w w:val="85"/>
        </w:rPr>
        <w:t>Higuchi</w:t>
      </w:r>
      <w:r>
        <w:rPr>
          <w:color w:val="231F20"/>
          <w:spacing w:val="-6"/>
          <w:w w:val="85"/>
        </w:rPr>
        <w:t> </w:t>
      </w:r>
      <w:r>
        <w:rPr>
          <w:color w:val="231F20"/>
          <w:w w:val="85"/>
        </w:rPr>
        <w:t>drug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release</w:t>
      </w:r>
      <w:r>
        <w:rPr>
          <w:color w:val="231F20"/>
          <w:spacing w:val="-6"/>
          <w:w w:val="85"/>
        </w:rPr>
        <w:t> </w:t>
      </w:r>
      <w:r>
        <w:rPr>
          <w:color w:val="231F20"/>
          <w:w w:val="85"/>
        </w:rPr>
        <w:t>kinetics as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plots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show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high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linearity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with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correlation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coefficient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(R</w:t>
      </w:r>
      <w:r>
        <w:rPr>
          <w:color w:val="231F20"/>
          <w:w w:val="85"/>
          <w:position w:val="5"/>
          <w:sz w:val="9"/>
        </w:rPr>
        <w:t>2</w:t>
      </w:r>
      <w:r>
        <w:rPr>
          <w:color w:val="231F20"/>
          <w:w w:val="85"/>
        </w:rPr>
        <w:t>)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higher than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0.95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[25].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This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typically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indicates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that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release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drug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from the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matrix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system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is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diffusion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controlled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[20].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Formulations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containing </w:t>
      </w:r>
      <w:r>
        <w:rPr>
          <w:color w:val="231F20"/>
          <w:w w:val="90"/>
        </w:rPr>
        <w:t>about</w:t>
      </w:r>
      <w:r>
        <w:rPr>
          <w:color w:val="231F20"/>
          <w:spacing w:val="-34"/>
          <w:w w:val="90"/>
        </w:rPr>
        <w:t> </w:t>
      </w:r>
      <w:r>
        <w:rPr>
          <w:color w:val="231F20"/>
          <w:w w:val="90"/>
        </w:rPr>
        <w:t>20%</w:t>
      </w:r>
      <w:r>
        <w:rPr>
          <w:color w:val="231F20"/>
          <w:spacing w:val="-35"/>
          <w:w w:val="90"/>
        </w:rPr>
        <w:t> </w:t>
      </w:r>
      <w:r>
        <w:rPr>
          <w:color w:val="231F20"/>
          <w:w w:val="90"/>
        </w:rPr>
        <w:t>DL</w:t>
      </w:r>
      <w:r>
        <w:rPr>
          <w:color w:val="231F20"/>
          <w:spacing w:val="-34"/>
          <w:w w:val="90"/>
        </w:rPr>
        <w:t> </w:t>
      </w:r>
      <w:r>
        <w:rPr>
          <w:color w:val="231F20"/>
          <w:w w:val="90"/>
        </w:rPr>
        <w:t>have</w:t>
      </w:r>
      <w:r>
        <w:rPr>
          <w:color w:val="231F20"/>
          <w:spacing w:val="-34"/>
          <w:w w:val="90"/>
        </w:rPr>
        <w:t> </w:t>
      </w:r>
      <w:r>
        <w:rPr>
          <w:color w:val="231F20"/>
          <w:w w:val="90"/>
        </w:rPr>
        <w:t>been</w:t>
      </w:r>
      <w:r>
        <w:rPr>
          <w:color w:val="231F20"/>
          <w:spacing w:val="-34"/>
          <w:w w:val="90"/>
        </w:rPr>
        <w:t> </w:t>
      </w:r>
      <w:r>
        <w:rPr>
          <w:color w:val="231F20"/>
          <w:w w:val="90"/>
        </w:rPr>
        <w:t>reported</w:t>
      </w:r>
      <w:r>
        <w:rPr>
          <w:color w:val="231F20"/>
          <w:spacing w:val="-34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34"/>
          <w:w w:val="90"/>
        </w:rPr>
        <w:t> </w:t>
      </w:r>
      <w:r>
        <w:rPr>
          <w:color w:val="231F20"/>
          <w:w w:val="90"/>
        </w:rPr>
        <w:t>release</w:t>
      </w:r>
      <w:r>
        <w:rPr>
          <w:color w:val="231F20"/>
          <w:spacing w:val="-34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34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34"/>
          <w:w w:val="90"/>
        </w:rPr>
        <w:t> </w:t>
      </w:r>
      <w:r>
        <w:rPr>
          <w:color w:val="231F20"/>
          <w:w w:val="90"/>
        </w:rPr>
        <w:t>longer</w:t>
      </w:r>
      <w:r>
        <w:rPr>
          <w:color w:val="231F20"/>
          <w:spacing w:val="-34"/>
          <w:w w:val="90"/>
        </w:rPr>
        <w:t> </w:t>
      </w:r>
      <w:r>
        <w:rPr>
          <w:color w:val="231F20"/>
          <w:w w:val="90"/>
        </w:rPr>
        <w:t>period</w:t>
      </w:r>
      <w:r>
        <w:rPr>
          <w:color w:val="231F20"/>
          <w:spacing w:val="-35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34"/>
          <w:w w:val="90"/>
        </w:rPr>
        <w:t> </w:t>
      </w:r>
      <w:r>
        <w:rPr>
          <w:color w:val="231F20"/>
          <w:w w:val="90"/>
        </w:rPr>
        <w:t>time and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has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usually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obeyed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Higuchi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square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root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model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[19,20,31].</w:t>
      </w:r>
    </w:p>
    <w:p>
      <w:pPr>
        <w:pStyle w:val="BodyText"/>
        <w:spacing w:before="8"/>
      </w:pPr>
    </w:p>
    <w:p>
      <w:pPr>
        <w:pStyle w:val="BodyText"/>
        <w:spacing w:before="1"/>
        <w:ind w:left="112"/>
        <w:jc w:val="both"/>
      </w:pPr>
      <w:r>
        <w:rPr>
          <w:color w:val="231F20"/>
          <w:w w:val="85"/>
        </w:rPr>
        <w:t>Korsmeyer</w:t>
      </w:r>
      <w:r>
        <w:rPr>
          <w:color w:val="231F20"/>
          <w:spacing w:val="-9"/>
          <w:w w:val="85"/>
        </w:rPr>
        <w:t> </w:t>
      </w:r>
      <w:r>
        <w:rPr>
          <w:color w:val="231F20"/>
          <w:w w:val="85"/>
        </w:rPr>
        <w:t>developed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semi-empirical</w:t>
      </w:r>
      <w:r>
        <w:rPr>
          <w:color w:val="231F20"/>
          <w:spacing w:val="-9"/>
          <w:w w:val="85"/>
        </w:rPr>
        <w:t> </w:t>
      </w:r>
      <w:r>
        <w:rPr>
          <w:color w:val="231F20"/>
          <w:w w:val="85"/>
        </w:rPr>
        <w:t>model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to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describe</w:t>
      </w:r>
      <w:r>
        <w:rPr>
          <w:color w:val="231F20"/>
          <w:spacing w:val="-9"/>
          <w:w w:val="85"/>
        </w:rPr>
        <w:t> </w:t>
      </w:r>
      <w:r>
        <w:rPr>
          <w:color w:val="231F20"/>
          <w:w w:val="85"/>
        </w:rPr>
        <w:t>drug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release</w:t>
      </w:r>
    </w:p>
    <w:p>
      <w:pPr>
        <w:pStyle w:val="BodyText"/>
        <w:spacing w:before="13"/>
        <w:ind w:left="112"/>
        <w:jc w:val="both"/>
      </w:pPr>
      <w:r>
        <w:rPr>
          <w:color w:val="231F20"/>
          <w:w w:val="85"/>
        </w:rPr>
        <w:t>for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polymeric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systems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summarized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it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in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equation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below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[34,35].</w:t>
      </w:r>
    </w:p>
    <w:p>
      <w:pPr>
        <w:spacing w:after="0"/>
        <w:jc w:val="both"/>
        <w:sectPr>
          <w:type w:val="continuous"/>
          <w:pgSz w:w="11910" w:h="16840"/>
          <w:pgMar w:top="140" w:bottom="280" w:left="800" w:right="800"/>
          <w:cols w:num="2" w:equalWidth="0">
            <w:col w:w="4976" w:space="285"/>
            <w:col w:w="5049"/>
          </w:cols>
        </w:sectPr>
      </w:pPr>
    </w:p>
    <w:p>
      <w:pPr>
        <w:pStyle w:val="BodyText"/>
        <w:spacing w:before="8"/>
        <w:rPr>
          <w:sz w:val="19"/>
        </w:rPr>
      </w:pPr>
    </w:p>
    <w:p>
      <w:pPr>
        <w:spacing w:after="0"/>
        <w:rPr>
          <w:sz w:val="19"/>
        </w:rPr>
        <w:sectPr>
          <w:pgSz w:w="11910" w:h="16840"/>
          <w:pgMar w:header="695" w:footer="952" w:top="1080" w:bottom="1140" w:left="800" w:right="800"/>
        </w:sectPr>
      </w:pPr>
    </w:p>
    <w:p>
      <w:pPr>
        <w:spacing w:line="266" w:lineRule="exact" w:before="148"/>
        <w:ind w:left="190" w:right="0" w:firstLine="0"/>
        <w:jc w:val="left"/>
        <w:rPr>
          <w:rFonts w:ascii="Times New Roman" w:hAnsi="Times New Roman"/>
          <w:i/>
          <w:sz w:val="14"/>
        </w:rPr>
      </w:pPr>
      <w:r>
        <w:rPr/>
        <w:pict>
          <v:line style="position:absolute;mso-position-horizontal-relative:page;mso-position-vertical-relative:paragraph;z-index:-16202752" from="47.647999pt,18.368742pt" to="61.147999pt,18.368742pt" stroked="true" strokeweight=".5pt" strokecolor="#000000">
            <v:stroke dashstyle="solid"/>
            <w10:wrap type="none"/>
          </v:line>
        </w:pict>
      </w:r>
      <w:r>
        <w:rPr>
          <w:rFonts w:ascii="Times New Roman" w:hAnsi="Times New Roman"/>
          <w:i/>
          <w:w w:val="105"/>
          <w:position w:val="11"/>
          <w:sz w:val="16"/>
        </w:rPr>
        <w:t>M</w:t>
      </w:r>
      <w:r>
        <w:rPr>
          <w:rFonts w:ascii="Times New Roman" w:hAnsi="Times New Roman"/>
          <w:i/>
          <w:w w:val="105"/>
          <w:position w:val="6"/>
          <w:sz w:val="14"/>
        </w:rPr>
        <w:t>t </w:t>
      </w:r>
      <w:r>
        <w:rPr>
          <w:rFonts w:ascii="Symbol" w:hAnsi="Symbol"/>
          <w:w w:val="105"/>
          <w:sz w:val="16"/>
        </w:rPr>
        <w:t></w:t>
      </w:r>
      <w:r>
        <w:rPr>
          <w:rFonts w:ascii="Times New Roman" w:hAnsi="Times New Roman"/>
          <w:w w:val="105"/>
          <w:sz w:val="16"/>
        </w:rPr>
        <w:t> </w:t>
      </w:r>
      <w:r>
        <w:rPr>
          <w:rFonts w:ascii="Times New Roman" w:hAnsi="Times New Roman"/>
          <w:i/>
          <w:w w:val="105"/>
          <w:sz w:val="16"/>
        </w:rPr>
        <w:t>Kt</w:t>
      </w:r>
      <w:r>
        <w:rPr>
          <w:rFonts w:ascii="Times New Roman" w:hAnsi="Times New Roman"/>
          <w:i/>
          <w:w w:val="105"/>
          <w:position w:val="7"/>
          <w:sz w:val="14"/>
        </w:rPr>
        <w:t>n</w:t>
      </w:r>
    </w:p>
    <w:p>
      <w:pPr>
        <w:spacing w:line="192" w:lineRule="auto" w:before="0"/>
        <w:ind w:left="170" w:right="0" w:firstLine="0"/>
        <w:jc w:val="left"/>
        <w:rPr>
          <w:rFonts w:ascii="Symbol" w:hAnsi="Symbol"/>
          <w:i/>
          <w:sz w:val="14"/>
        </w:rPr>
      </w:pPr>
      <w:r>
        <w:rPr>
          <w:rFonts w:ascii="Times New Roman" w:hAnsi="Times New Roman"/>
          <w:i/>
          <w:sz w:val="16"/>
        </w:rPr>
        <w:t>M</w:t>
      </w:r>
      <w:r>
        <w:rPr>
          <w:rFonts w:ascii="Symbol" w:hAnsi="Symbol"/>
          <w:i/>
          <w:position w:val="-3"/>
          <w:sz w:val="14"/>
        </w:rPr>
        <w:t></w:t>
      </w:r>
    </w:p>
    <w:p>
      <w:pPr>
        <w:pStyle w:val="BodyText"/>
        <w:spacing w:before="4"/>
        <w:rPr>
          <w:rFonts w:ascii="Symbol" w:hAnsi="Symbol"/>
          <w:i/>
          <w:sz w:val="24"/>
        </w:rPr>
      </w:pPr>
    </w:p>
    <w:p>
      <w:pPr>
        <w:pStyle w:val="BodyText"/>
        <w:spacing w:line="204" w:lineRule="exact"/>
        <w:ind w:left="112" w:right="38"/>
        <w:jc w:val="both"/>
      </w:pPr>
      <w:r>
        <w:rPr>
          <w:color w:val="231F20"/>
          <w:w w:val="95"/>
        </w:rPr>
        <w:t>Where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K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constant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incorporating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structural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geometrical characteristics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system,</w:t>
      </w:r>
      <w:r>
        <w:rPr>
          <w:color w:val="231F20"/>
          <w:spacing w:val="-12"/>
          <w:w w:val="95"/>
        </w:rPr>
        <w:t> </w:t>
      </w:r>
      <w:r>
        <w:rPr>
          <w:rFonts w:ascii="Times New Roman" w:hAnsi="Times New Roman"/>
          <w:i/>
          <w:color w:val="231F20"/>
          <w:w w:val="95"/>
        </w:rPr>
        <w:t>M</w:t>
      </w:r>
      <w:r>
        <w:rPr>
          <w:rFonts w:ascii="Times New Roman" w:hAnsi="Times New Roman"/>
          <w:i/>
          <w:color w:val="231F20"/>
          <w:w w:val="95"/>
          <w:position w:val="-4"/>
          <w:sz w:val="9"/>
        </w:rPr>
        <w:t>t</w:t>
      </w:r>
      <w:r>
        <w:rPr>
          <w:color w:val="231F20"/>
          <w:w w:val="95"/>
        </w:rPr>
        <w:t>/</w:t>
      </w:r>
      <w:r>
        <w:rPr>
          <w:rFonts w:ascii="Times New Roman" w:hAnsi="Times New Roman"/>
          <w:i/>
          <w:color w:val="231F20"/>
          <w:w w:val="95"/>
        </w:rPr>
        <w:t>M</w:t>
      </w:r>
      <w:r>
        <w:rPr>
          <w:rFonts w:ascii="Georgia" w:hAnsi="Georgia"/>
          <w:i/>
          <w:color w:val="231F20"/>
          <w:w w:val="95"/>
          <w:position w:val="-4"/>
          <w:sz w:val="9"/>
        </w:rPr>
        <w:t>α</w:t>
      </w:r>
      <w:r>
        <w:rPr>
          <w:rFonts w:ascii="Georgia" w:hAnsi="Georgia"/>
          <w:i/>
          <w:color w:val="231F20"/>
          <w:spacing w:val="17"/>
          <w:w w:val="95"/>
          <w:position w:val="-4"/>
          <w:sz w:val="9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fraction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release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the </w:t>
      </w:r>
      <w:r>
        <w:rPr>
          <w:color w:val="231F20"/>
          <w:w w:val="90"/>
        </w:rPr>
        <w:t>drug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at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time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t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n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release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exponent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indicative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drug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release </w:t>
      </w:r>
      <w:r>
        <w:rPr>
          <w:color w:val="231F20"/>
          <w:w w:val="85"/>
        </w:rPr>
        <w:t>mechanism. Peppas then characterized different release mechanisms </w:t>
      </w:r>
      <w:r>
        <w:rPr>
          <w:color w:val="231F20"/>
          <w:w w:val="90"/>
        </w:rPr>
        <w:t>using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this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n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value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his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conclusion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provided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-30"/>
          <w:w w:val="90"/>
        </w:rPr>
        <w:t> </w:t>
      </w:r>
      <w:r>
        <w:rPr>
          <w:color w:val="231F20"/>
          <w:spacing w:val="-4"/>
          <w:w w:val="90"/>
        </w:rPr>
        <w:t>Table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3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[22,34,35].</w:t>
      </w:r>
    </w:p>
    <w:p>
      <w:pPr>
        <w:pStyle w:val="BodyText"/>
        <w:spacing w:before="2"/>
        <w:rPr>
          <w:sz w:val="17"/>
        </w:rPr>
      </w:pPr>
    </w:p>
    <w:p>
      <w:pPr>
        <w:pStyle w:val="BodyText"/>
        <w:ind w:left="112"/>
        <w:jc w:val="both"/>
      </w:pPr>
      <w:r>
        <w:rPr>
          <w:color w:val="231F20"/>
          <w:w w:val="90"/>
        </w:rPr>
        <w:t>In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current</w:t>
      </w:r>
      <w:r>
        <w:rPr>
          <w:color w:val="231F20"/>
          <w:spacing w:val="-27"/>
          <w:w w:val="90"/>
        </w:rPr>
        <w:t> </w:t>
      </w:r>
      <w:r>
        <w:rPr>
          <w:color w:val="231F20"/>
          <w:spacing w:val="-3"/>
          <w:w w:val="90"/>
        </w:rPr>
        <w:t>study,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diffusion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mechanism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drug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release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was</w:t>
      </w:r>
    </w:p>
    <w:p>
      <w:pPr>
        <w:pStyle w:val="BodyText"/>
        <w:spacing w:before="17"/>
        <w:ind w:left="112"/>
        <w:jc w:val="both"/>
      </w:pPr>
      <w:r>
        <w:rPr>
          <w:color w:val="231F20"/>
          <w:w w:val="85"/>
        </w:rPr>
        <w:t>confirmed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by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Korsmeyer–Peppas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plots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with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R</w:t>
      </w:r>
      <w:r>
        <w:rPr>
          <w:color w:val="231F20"/>
          <w:w w:val="85"/>
          <w:position w:val="5"/>
          <w:sz w:val="9"/>
        </w:rPr>
        <w:t>2</w:t>
      </w:r>
      <w:r>
        <w:rPr>
          <w:color w:val="231F20"/>
          <w:spacing w:val="10"/>
          <w:w w:val="85"/>
          <w:position w:val="5"/>
          <w:sz w:val="9"/>
        </w:rPr>
        <w:t> </w:t>
      </w:r>
      <w:r>
        <w:rPr>
          <w:color w:val="231F20"/>
          <w:w w:val="85"/>
        </w:rPr>
        <w:t>values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0.968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0.972,</w:t>
      </w:r>
    </w:p>
    <w:p>
      <w:pPr>
        <w:pStyle w:val="BodyText"/>
        <w:spacing w:before="4"/>
        <w:rPr>
          <w:sz w:val="24"/>
        </w:rPr>
      </w:pPr>
      <w:r>
        <w:rPr/>
        <w:pict>
          <v:group style="position:absolute;margin-left:45.703999pt;margin-top:16.144106pt;width:241pt;height:138.25pt;mso-position-horizontal-relative:page;mso-position-vertical-relative:paragraph;z-index:-15722496;mso-wrap-distance-left:0;mso-wrap-distance-right:0" coordorigin="914,323" coordsize="4820,2765">
            <v:shape style="position:absolute;left:990;top:399;width:4685;height:2612" type="#_x0000_t75" stroked="false">
              <v:imagedata r:id="rId20" o:title=""/>
            </v:shape>
            <v:rect style="position:absolute;left:916;top:325;width:4815;height:2760" filled="false" stroked="true" strokeweight=".25pt" strokecolor="#231f20">
              <v:stroke dashstyle="solid"/>
            </v:rect>
            <w10:wrap type="topAndBottom"/>
          </v:group>
        </w:pict>
      </w:r>
    </w:p>
    <w:p>
      <w:pPr>
        <w:pStyle w:val="Heading2"/>
        <w:spacing w:line="256" w:lineRule="auto" w:before="63"/>
        <w:ind w:left="269" w:right="196"/>
        <w:jc w:val="center"/>
      </w:pPr>
      <w:r>
        <w:rPr>
          <w:color w:val="231F20"/>
        </w:rPr>
        <w:t>Fig. 10: Higuchi square root model indicating solid lipid nanoparticles for F2 and F3</w:t>
      </w:r>
    </w:p>
    <w:p>
      <w:pPr>
        <w:pStyle w:val="BodyText"/>
        <w:spacing w:before="1"/>
        <w:rPr>
          <w:rFonts w:ascii="Caladea"/>
          <w:b/>
          <w:sz w:val="23"/>
        </w:rPr>
      </w:pPr>
      <w:r>
        <w:rPr/>
        <w:pict>
          <v:group style="position:absolute;margin-left:45.703999pt;margin-top:15.53336pt;width:241pt;height:154.6pt;mso-position-horizontal-relative:page;mso-position-vertical-relative:paragraph;z-index:-15721984;mso-wrap-distance-left:0;mso-wrap-distance-right:0" coordorigin="914,311" coordsize="4820,3092">
            <v:shape style="position:absolute;left:990;top:387;width:4685;height:2957" type="#_x0000_t75" stroked="false">
              <v:imagedata r:id="rId21" o:title=""/>
            </v:shape>
            <v:rect style="position:absolute;left:916;top:313;width:4815;height:3087" filled="false" stroked="true" strokeweight=".25pt" strokecolor="#231f20">
              <v:stroke dashstyle="solid"/>
            </v:rect>
            <w10:wrap type="topAndBottom"/>
          </v:group>
        </w:pict>
      </w:r>
    </w:p>
    <w:p>
      <w:pPr>
        <w:spacing w:line="256" w:lineRule="auto" w:before="63"/>
        <w:ind w:left="269" w:right="197" w:firstLine="0"/>
        <w:jc w:val="center"/>
        <w:rPr>
          <w:rFonts w:ascii="Caladea"/>
          <w:b/>
          <w:sz w:val="16"/>
        </w:rPr>
      </w:pPr>
      <w:r>
        <w:rPr>
          <w:rFonts w:ascii="Caladea"/>
          <w:b/>
          <w:color w:val="231F20"/>
          <w:sz w:val="16"/>
        </w:rPr>
        <w:t>Fig. 11: Korsmeyer-Peppas plots indicating ibuprofen-loaded solid lipid nanoparticles</w:t>
      </w:r>
    </w:p>
    <w:p>
      <w:pPr>
        <w:pStyle w:val="BodyText"/>
        <w:spacing w:line="268" w:lineRule="auto" w:before="104"/>
        <w:ind w:left="112" w:right="111"/>
        <w:jc w:val="both"/>
      </w:pPr>
      <w:r>
        <w:rPr/>
        <w:br w:type="column"/>
      </w:r>
      <w:r>
        <w:rPr>
          <w:color w:val="231F20"/>
          <w:spacing w:val="-3"/>
          <w:w w:val="90"/>
        </w:rPr>
        <w:t>respectively,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gradient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values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(n)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0.654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0.777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(Fig.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11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and </w:t>
      </w:r>
      <w:r>
        <w:rPr>
          <w:color w:val="231F20"/>
          <w:spacing w:val="-4"/>
          <w:w w:val="85"/>
        </w:rPr>
        <w:t>Table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4)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which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fall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between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0.42&lt;n&lt;0.85</w:t>
      </w:r>
      <w:r>
        <w:rPr>
          <w:color w:val="231F20"/>
          <w:spacing w:val="-16"/>
          <w:w w:val="85"/>
        </w:rPr>
        <w:t> </w:t>
      </w:r>
      <w:r>
        <w:rPr>
          <w:color w:val="231F20"/>
          <w:spacing w:val="-3"/>
          <w:w w:val="85"/>
        </w:rPr>
        <w:t>(Table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3)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as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our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nanoparticles </w:t>
      </w:r>
      <w:r>
        <w:rPr>
          <w:color w:val="231F20"/>
          <w:w w:val="95"/>
        </w:rPr>
        <w:t>are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spherical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from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TEM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results.</w:t>
      </w:r>
    </w:p>
    <w:p>
      <w:pPr>
        <w:pStyle w:val="BodyText"/>
        <w:spacing w:before="5"/>
      </w:pPr>
    </w:p>
    <w:p>
      <w:pPr>
        <w:pStyle w:val="BodyText"/>
        <w:spacing w:line="268" w:lineRule="auto"/>
        <w:ind w:left="112" w:right="109"/>
        <w:jc w:val="both"/>
      </w:pPr>
      <w:r>
        <w:rPr>
          <w:color w:val="231F20"/>
          <w:w w:val="85"/>
        </w:rPr>
        <w:t>The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values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slopes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indicate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that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IBU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release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mechanisms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from </w:t>
      </w: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nanoparticles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followed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an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anomalous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transport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or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non-Fickian </w:t>
      </w:r>
      <w:r>
        <w:rPr>
          <w:color w:val="231F20"/>
          <w:w w:val="95"/>
        </w:rPr>
        <w:t>diffusion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transport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[34-37].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This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means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that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diffusion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time </w:t>
      </w:r>
      <w:r>
        <w:rPr>
          <w:color w:val="231F20"/>
          <w:w w:val="90"/>
        </w:rPr>
        <w:t>dependent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release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drug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from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matrix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polymer is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dependent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on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concentration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drug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thus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supports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first- order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reaction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theory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[34-38].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Similar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results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were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obtained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where </w:t>
      </w:r>
      <w:r>
        <w:rPr>
          <w:color w:val="231F20"/>
          <w:w w:val="85"/>
        </w:rPr>
        <w:t>IBU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was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loaded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into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ethyl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cellulose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nanoparticles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by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nanoprecipitation technique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[22].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study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reported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nanoparticles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prepared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with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tween 80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tween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20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as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surfactant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to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have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an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n=0.3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0.4,</w:t>
      </w:r>
      <w:r>
        <w:rPr>
          <w:color w:val="231F20"/>
          <w:spacing w:val="-21"/>
          <w:w w:val="85"/>
        </w:rPr>
        <w:t> </w:t>
      </w:r>
      <w:r>
        <w:rPr>
          <w:color w:val="231F20"/>
          <w:spacing w:val="-3"/>
          <w:w w:val="85"/>
        </w:rPr>
        <w:t>respectively, </w:t>
      </w:r>
      <w:r>
        <w:rPr>
          <w:color w:val="231F20"/>
          <w:w w:val="90"/>
        </w:rPr>
        <w:t>indicating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they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followed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Fickian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diffusion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while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those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prepared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by </w:t>
      </w:r>
      <w:r>
        <w:rPr>
          <w:color w:val="231F20"/>
          <w:spacing w:val="-5"/>
          <w:w w:val="85"/>
        </w:rPr>
        <w:t>PVA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as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surfactant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had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an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n=0.5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indicating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they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were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non-Fickian </w:t>
      </w:r>
      <w:r>
        <w:rPr>
          <w:color w:val="231F20"/>
          <w:w w:val="95"/>
        </w:rPr>
        <w:t>diffusion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[22].</w:t>
      </w:r>
    </w:p>
    <w:p>
      <w:pPr>
        <w:pStyle w:val="BodyText"/>
        <w:spacing w:before="9"/>
      </w:pPr>
    </w:p>
    <w:p>
      <w:pPr>
        <w:pStyle w:val="Heading2"/>
      </w:pPr>
      <w:r>
        <w:rPr>
          <w:color w:val="231F20"/>
        </w:rPr>
        <w:t>CONCLUSION</w:t>
      </w:r>
    </w:p>
    <w:p>
      <w:pPr>
        <w:pStyle w:val="BodyText"/>
        <w:spacing w:line="268" w:lineRule="auto" w:before="145"/>
        <w:ind w:left="112" w:right="108"/>
        <w:jc w:val="both"/>
      </w:pPr>
      <w:r>
        <w:rPr>
          <w:color w:val="231F20"/>
          <w:w w:val="90"/>
        </w:rPr>
        <w:t>IBU loaded SLNs were successfully prepared by single emulsion, </w:t>
      </w:r>
      <w:r>
        <w:rPr>
          <w:color w:val="231F20"/>
          <w:w w:val="95"/>
        </w:rPr>
        <w:t>solvent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evaporation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technique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with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as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matrix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PVP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as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the </w:t>
      </w:r>
      <w:r>
        <w:rPr>
          <w:color w:val="231F20"/>
          <w:w w:val="90"/>
        </w:rPr>
        <w:t>surfactant.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There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was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significant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decrease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particle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size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with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an increase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internal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external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ratio.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formulation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with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1:6 ratios</w:t>
      </w:r>
      <w:r>
        <w:rPr>
          <w:color w:val="231F20"/>
          <w:spacing w:val="-34"/>
          <w:w w:val="90"/>
        </w:rPr>
        <w:t> </w:t>
      </w:r>
      <w:r>
        <w:rPr>
          <w:color w:val="231F20"/>
          <w:w w:val="90"/>
        </w:rPr>
        <w:t>was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preferred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due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34"/>
          <w:w w:val="90"/>
        </w:rPr>
        <w:t> </w:t>
      </w:r>
      <w:r>
        <w:rPr>
          <w:color w:val="231F20"/>
          <w:w w:val="90"/>
        </w:rPr>
        <w:t>smaller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particle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size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high</w:t>
      </w:r>
      <w:r>
        <w:rPr>
          <w:color w:val="231F20"/>
          <w:spacing w:val="-34"/>
          <w:w w:val="90"/>
        </w:rPr>
        <w:t> </w:t>
      </w:r>
      <w:r>
        <w:rPr>
          <w:color w:val="231F20"/>
          <w:w w:val="90"/>
        </w:rPr>
        <w:t>EE.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IBU- loaded</w:t>
      </w:r>
      <w:r>
        <w:rPr>
          <w:color w:val="231F20"/>
          <w:spacing w:val="-32"/>
          <w:w w:val="90"/>
        </w:rPr>
        <w:t> </w:t>
      </w:r>
      <w:r>
        <w:rPr>
          <w:color w:val="231F20"/>
          <w:w w:val="90"/>
        </w:rPr>
        <w:t>nanoparticles</w:t>
      </w:r>
      <w:r>
        <w:rPr>
          <w:color w:val="231F20"/>
          <w:spacing w:val="-32"/>
          <w:w w:val="90"/>
        </w:rPr>
        <w:t> </w:t>
      </w:r>
      <w:r>
        <w:rPr>
          <w:color w:val="231F20"/>
          <w:w w:val="90"/>
        </w:rPr>
        <w:t>were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found</w:t>
      </w:r>
      <w:r>
        <w:rPr>
          <w:color w:val="231F20"/>
          <w:spacing w:val="-32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32"/>
          <w:w w:val="90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amorphous</w:t>
      </w:r>
      <w:r>
        <w:rPr>
          <w:color w:val="231F20"/>
          <w:spacing w:val="-32"/>
          <w:w w:val="90"/>
        </w:rPr>
        <w:t> </w:t>
      </w:r>
      <w:r>
        <w:rPr>
          <w:color w:val="231F20"/>
          <w:w w:val="90"/>
        </w:rPr>
        <w:t>as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compared</w:t>
      </w:r>
      <w:r>
        <w:rPr>
          <w:color w:val="231F20"/>
          <w:spacing w:val="-32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32"/>
          <w:w w:val="90"/>
        </w:rPr>
        <w:t> </w:t>
      </w:r>
      <w:r>
        <w:rPr>
          <w:color w:val="231F20"/>
          <w:w w:val="90"/>
        </w:rPr>
        <w:t>the crystalline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nature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IBU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pure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drug.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Formulations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F2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F3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were found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sustain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drug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release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about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7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h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8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h,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respectively,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and they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both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followed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first-order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kinetics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with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non-Fickian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diffusion </w:t>
      </w:r>
      <w:r>
        <w:rPr>
          <w:color w:val="231F20"/>
          <w:w w:val="95"/>
        </w:rPr>
        <w:t>mechanism.</w:t>
      </w:r>
    </w:p>
    <w:p>
      <w:pPr>
        <w:pStyle w:val="BodyText"/>
        <w:spacing w:before="7"/>
      </w:pPr>
    </w:p>
    <w:p>
      <w:pPr>
        <w:pStyle w:val="Heading2"/>
        <w:spacing w:before="1"/>
      </w:pPr>
      <w:r>
        <w:rPr>
          <w:color w:val="231F20"/>
        </w:rPr>
        <w:t>ACKNOWLEDGMENTS</w:t>
      </w:r>
    </w:p>
    <w:p>
      <w:pPr>
        <w:pStyle w:val="BodyText"/>
        <w:spacing w:line="268" w:lineRule="auto" w:before="145"/>
        <w:ind w:left="112" w:right="110"/>
        <w:jc w:val="both"/>
      </w:pP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authors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wish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acknowledge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Department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Chemistry,</w:t>
      </w:r>
      <w:r>
        <w:rPr>
          <w:color w:val="231F20"/>
          <w:spacing w:val="-25"/>
          <w:w w:val="90"/>
        </w:rPr>
        <w:t> </w:t>
      </w:r>
      <w:r>
        <w:rPr>
          <w:color w:val="231F20"/>
          <w:spacing w:val="-4"/>
          <w:w w:val="90"/>
        </w:rPr>
        <w:t>Vaal </w:t>
      </w:r>
      <w:r>
        <w:rPr>
          <w:color w:val="231F20"/>
          <w:w w:val="85"/>
        </w:rPr>
        <w:t>University</w:t>
      </w:r>
      <w:r>
        <w:rPr>
          <w:color w:val="231F20"/>
          <w:spacing w:val="-9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Technology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for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providing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laboratory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space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where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the </w:t>
      </w:r>
      <w:r>
        <w:rPr>
          <w:color w:val="231F20"/>
          <w:w w:val="90"/>
        </w:rPr>
        <w:t>experiments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analysis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were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done.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Much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appreciation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also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goes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to </w:t>
      </w:r>
      <w:r>
        <w:rPr>
          <w:color w:val="231F20"/>
          <w:spacing w:val="-6"/>
          <w:w w:val="85"/>
        </w:rPr>
        <w:t>Mr.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Samuel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Olayinka</w:t>
      </w:r>
      <w:r>
        <w:rPr>
          <w:color w:val="231F20"/>
          <w:spacing w:val="-21"/>
          <w:w w:val="85"/>
        </w:rPr>
        <w:t> </w:t>
      </w:r>
      <w:r>
        <w:rPr>
          <w:color w:val="231F20"/>
          <w:spacing w:val="-3"/>
          <w:w w:val="85"/>
        </w:rPr>
        <w:t>Awofiranye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Ms.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Samkeliso</w:t>
      </w:r>
      <w:r>
        <w:rPr>
          <w:color w:val="231F20"/>
          <w:spacing w:val="-21"/>
          <w:w w:val="85"/>
        </w:rPr>
        <w:t> </w:t>
      </w:r>
      <w:r>
        <w:rPr>
          <w:color w:val="231F20"/>
          <w:spacing w:val="-3"/>
          <w:w w:val="85"/>
        </w:rPr>
        <w:t>Takaidza,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both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from </w:t>
      </w:r>
      <w:r>
        <w:rPr>
          <w:color w:val="231F20"/>
          <w:spacing w:val="-3"/>
          <w:w w:val="85"/>
        </w:rPr>
        <w:t>Vaal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University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9"/>
          <w:w w:val="85"/>
        </w:rPr>
        <w:t> </w:t>
      </w:r>
      <w:r>
        <w:rPr>
          <w:color w:val="231F20"/>
          <w:w w:val="85"/>
        </w:rPr>
        <w:t>Technology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for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their</w:t>
      </w:r>
      <w:r>
        <w:rPr>
          <w:color w:val="231F20"/>
          <w:spacing w:val="-9"/>
          <w:w w:val="85"/>
        </w:rPr>
        <w:t> </w:t>
      </w:r>
      <w:r>
        <w:rPr>
          <w:color w:val="231F20"/>
          <w:w w:val="85"/>
        </w:rPr>
        <w:t>profound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assistance</w:t>
      </w:r>
      <w:r>
        <w:rPr>
          <w:color w:val="231F20"/>
          <w:spacing w:val="-9"/>
          <w:w w:val="85"/>
        </w:rPr>
        <w:t> </w:t>
      </w:r>
      <w:r>
        <w:rPr>
          <w:color w:val="231F20"/>
          <w:w w:val="85"/>
        </w:rPr>
        <w:t>during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the entire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project.</w:t>
      </w:r>
      <w:r>
        <w:rPr>
          <w:color w:val="231F20"/>
          <w:spacing w:val="-10"/>
          <w:w w:val="85"/>
        </w:rPr>
        <w:t> </w:t>
      </w:r>
      <w:r>
        <w:rPr>
          <w:color w:val="231F20"/>
          <w:spacing w:val="-6"/>
          <w:w w:val="85"/>
        </w:rPr>
        <w:t>Dr.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Pierre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Kalenga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University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Witwatersrand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is also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acknowledged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for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his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assistance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in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characterization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reviewing </w:t>
      </w:r>
      <w:r>
        <w:rPr>
          <w:color w:val="231F20"/>
          <w:w w:val="95"/>
        </w:rPr>
        <w:t>of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this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article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before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submission.</w:t>
      </w:r>
    </w:p>
    <w:p>
      <w:pPr>
        <w:pStyle w:val="BodyText"/>
        <w:spacing w:before="5"/>
      </w:pPr>
    </w:p>
    <w:p>
      <w:pPr>
        <w:pStyle w:val="Heading2"/>
        <w:spacing w:before="1"/>
      </w:pPr>
      <w:r>
        <w:rPr>
          <w:color w:val="231F20"/>
        </w:rPr>
        <w:t>AUTHORS’ CONTRIBUTIONS</w:t>
      </w:r>
    </w:p>
    <w:p>
      <w:pPr>
        <w:pStyle w:val="BodyText"/>
        <w:spacing w:line="268" w:lineRule="auto" w:before="145"/>
        <w:ind w:left="112" w:right="111"/>
        <w:jc w:val="both"/>
      </w:pPr>
      <w:r>
        <w:rPr>
          <w:color w:val="231F20"/>
          <w:w w:val="85"/>
        </w:rPr>
        <w:t>The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authors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declare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that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work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reported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herein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was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performed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by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the two authors. Prof. Makwena Moloto designed the </w:t>
      </w:r>
      <w:r>
        <w:rPr>
          <w:color w:val="231F20"/>
          <w:spacing w:val="-3"/>
          <w:w w:val="85"/>
        </w:rPr>
        <w:t>study, </w:t>
      </w:r>
      <w:r>
        <w:rPr>
          <w:color w:val="231F20"/>
          <w:w w:val="85"/>
        </w:rPr>
        <w:t>procured the </w:t>
      </w:r>
      <w:r>
        <w:rPr>
          <w:color w:val="231F20"/>
          <w:w w:val="90"/>
        </w:rPr>
        <w:t>necessary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chemicals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required,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supervised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entire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work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proof- </w:t>
      </w:r>
      <w:r>
        <w:rPr>
          <w:color w:val="231F20"/>
          <w:w w:val="85"/>
        </w:rPr>
        <w:t>read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manuscript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before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submission.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On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other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hand,</w:t>
      </w:r>
      <w:r>
        <w:rPr>
          <w:color w:val="231F20"/>
          <w:spacing w:val="-18"/>
          <w:w w:val="85"/>
        </w:rPr>
        <w:t> </w:t>
      </w:r>
      <w:r>
        <w:rPr>
          <w:color w:val="231F20"/>
          <w:spacing w:val="-6"/>
          <w:w w:val="85"/>
        </w:rPr>
        <w:t>Dr.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Nyaigoti </w:t>
      </w:r>
      <w:r>
        <w:rPr>
          <w:color w:val="231F20"/>
          <w:spacing w:val="-3"/>
          <w:w w:val="95"/>
        </w:rPr>
        <w:t>Omwoyo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performed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laboratory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experiments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drafted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the manuscript.</w:t>
      </w:r>
    </w:p>
    <w:p>
      <w:pPr>
        <w:spacing w:after="0" w:line="268" w:lineRule="auto"/>
        <w:jc w:val="both"/>
        <w:sectPr>
          <w:type w:val="continuous"/>
          <w:pgSz w:w="11910" w:h="16840"/>
          <w:pgMar w:top="140" w:bottom="280" w:left="800" w:right="800"/>
          <w:cols w:num="2" w:equalWidth="0">
            <w:col w:w="4975" w:space="286"/>
            <w:col w:w="5049"/>
          </w:cols>
        </w:sectPr>
      </w:pPr>
    </w:p>
    <w:p>
      <w:pPr>
        <w:pStyle w:val="BodyText"/>
        <w:rPr>
          <w:sz w:val="22"/>
        </w:rPr>
      </w:pPr>
    </w:p>
    <w:tbl>
      <w:tblPr>
        <w:tblW w:w="0" w:type="auto"/>
        <w:jc w:val="left"/>
        <w:tblInd w:w="1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8"/>
        <w:gridCol w:w="1999"/>
        <w:gridCol w:w="1744"/>
        <w:gridCol w:w="4402"/>
      </w:tblGrid>
      <w:tr>
        <w:trPr>
          <w:trHeight w:val="309" w:hRule="atLeast"/>
        </w:trPr>
        <w:tc>
          <w:tcPr>
            <w:tcW w:w="10083" w:type="dxa"/>
            <w:gridSpan w:val="4"/>
            <w:tcBorders>
              <w:bottom w:val="single" w:sz="2" w:space="0" w:color="231F20"/>
            </w:tcBorders>
          </w:tcPr>
          <w:p>
            <w:pPr>
              <w:pStyle w:val="TableParagraph"/>
              <w:spacing w:before="0"/>
              <w:ind w:left="521"/>
              <w:rPr>
                <w:rFonts w:ascii="Caladea"/>
                <w:b/>
                <w:sz w:val="16"/>
              </w:rPr>
            </w:pPr>
            <w:r>
              <w:rPr>
                <w:rFonts w:ascii="Caladea"/>
                <w:b/>
                <w:color w:val="231F20"/>
                <w:sz w:val="16"/>
              </w:rPr>
              <w:t>Table 3: Drug release mechanisms and diffusion exponent for polymeric controlled delivery systems of different geometries</w:t>
            </w:r>
          </w:p>
        </w:tc>
      </w:tr>
      <w:tr>
        <w:trPr>
          <w:trHeight w:val="296" w:hRule="atLeast"/>
        </w:trPr>
        <w:tc>
          <w:tcPr>
            <w:tcW w:w="1938" w:type="dxa"/>
            <w:tcBorders>
              <w:top w:val="single" w:sz="2" w:space="0" w:color="231F20"/>
              <w:bottom w:val="single" w:sz="4" w:space="0" w:color="231F20"/>
            </w:tcBorders>
          </w:tcPr>
          <w:p>
            <w:pPr>
              <w:pStyle w:val="TableParagraph"/>
              <w:spacing w:before="70"/>
              <w:rPr>
                <w:rFonts w:ascii="Caladea"/>
                <w:b/>
                <w:sz w:val="16"/>
              </w:rPr>
            </w:pPr>
            <w:r>
              <w:rPr>
                <w:rFonts w:ascii="Caladea"/>
                <w:b/>
                <w:color w:val="231F20"/>
                <w:sz w:val="16"/>
              </w:rPr>
              <w:t>Release exponent (n)</w:t>
            </w:r>
          </w:p>
        </w:tc>
        <w:tc>
          <w:tcPr>
            <w:tcW w:w="1999" w:type="dxa"/>
            <w:tcBorders>
              <w:top w:val="single" w:sz="2" w:space="0" w:color="231F20"/>
              <w:bottom w:val="single" w:sz="4" w:space="0" w:color="231F2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744" w:type="dxa"/>
            <w:tcBorders>
              <w:top w:val="single" w:sz="2" w:space="0" w:color="231F20"/>
              <w:bottom w:val="single" w:sz="4" w:space="0" w:color="231F2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402" w:type="dxa"/>
            <w:tcBorders>
              <w:top w:val="single" w:sz="2" w:space="0" w:color="231F20"/>
            </w:tcBorders>
          </w:tcPr>
          <w:p>
            <w:pPr>
              <w:pStyle w:val="TableParagraph"/>
              <w:spacing w:before="70"/>
              <w:ind w:left="1361"/>
              <w:rPr>
                <w:rFonts w:ascii="Caladea"/>
                <w:b/>
                <w:sz w:val="16"/>
              </w:rPr>
            </w:pPr>
            <w:r>
              <w:rPr>
                <w:rFonts w:ascii="Caladea"/>
                <w:b/>
                <w:color w:val="231F20"/>
                <w:sz w:val="16"/>
              </w:rPr>
              <w:t>Drug transport mechanism</w:t>
            </w:r>
          </w:p>
        </w:tc>
      </w:tr>
      <w:tr>
        <w:trPr>
          <w:trHeight w:val="294" w:hRule="atLeast"/>
        </w:trPr>
        <w:tc>
          <w:tcPr>
            <w:tcW w:w="1938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67"/>
              <w:rPr>
                <w:rFonts w:ascii="Caladea"/>
                <w:b/>
                <w:sz w:val="16"/>
              </w:rPr>
            </w:pPr>
            <w:r>
              <w:rPr>
                <w:rFonts w:ascii="Caladea"/>
                <w:b/>
                <w:color w:val="231F20"/>
                <w:sz w:val="16"/>
              </w:rPr>
              <w:t>Thin film</w:t>
            </w:r>
          </w:p>
        </w:tc>
        <w:tc>
          <w:tcPr>
            <w:tcW w:w="1999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67"/>
              <w:ind w:left="325"/>
              <w:rPr>
                <w:rFonts w:ascii="Caladea"/>
                <w:b/>
                <w:sz w:val="16"/>
              </w:rPr>
            </w:pPr>
            <w:r>
              <w:rPr>
                <w:rFonts w:ascii="Caladea"/>
                <w:b/>
                <w:color w:val="231F20"/>
                <w:sz w:val="16"/>
              </w:rPr>
              <w:t>Cylinder</w:t>
            </w:r>
          </w:p>
        </w:tc>
        <w:tc>
          <w:tcPr>
            <w:tcW w:w="1744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67"/>
              <w:ind w:left="738"/>
              <w:rPr>
                <w:rFonts w:ascii="Caladea"/>
                <w:b/>
                <w:sz w:val="16"/>
              </w:rPr>
            </w:pPr>
            <w:r>
              <w:rPr>
                <w:rFonts w:ascii="Caladea"/>
                <w:b/>
                <w:color w:val="231F20"/>
                <w:sz w:val="16"/>
              </w:rPr>
              <w:t>Sphere</w:t>
            </w:r>
          </w:p>
        </w:tc>
        <w:tc>
          <w:tcPr>
            <w:tcW w:w="4402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</w:tr>
      <w:tr>
        <w:trPr>
          <w:trHeight w:val="213" w:hRule="atLeast"/>
        </w:trPr>
        <w:tc>
          <w:tcPr>
            <w:tcW w:w="1938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163" w:lineRule="exact" w:before="31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&lt;0.5</w:t>
            </w:r>
          </w:p>
        </w:tc>
        <w:tc>
          <w:tcPr>
            <w:tcW w:w="1999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163" w:lineRule="exact" w:before="31"/>
              <w:ind w:left="32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&lt;0.44</w:t>
            </w:r>
          </w:p>
        </w:tc>
        <w:tc>
          <w:tcPr>
            <w:tcW w:w="1744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163" w:lineRule="exact" w:before="31"/>
              <w:ind w:left="738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&lt;0.42</w:t>
            </w:r>
          </w:p>
        </w:tc>
        <w:tc>
          <w:tcPr>
            <w:tcW w:w="4402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163" w:lineRule="exact" w:before="31"/>
              <w:ind w:left="1361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Quasi Fickian</w:t>
            </w:r>
          </w:p>
        </w:tc>
      </w:tr>
      <w:tr>
        <w:trPr>
          <w:trHeight w:val="184" w:hRule="atLeast"/>
        </w:trPr>
        <w:tc>
          <w:tcPr>
            <w:tcW w:w="1938" w:type="dxa"/>
          </w:tcPr>
          <w:p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0.5</w:t>
            </w:r>
          </w:p>
        </w:tc>
        <w:tc>
          <w:tcPr>
            <w:tcW w:w="1999" w:type="dxa"/>
          </w:tcPr>
          <w:p>
            <w:pPr>
              <w:pStyle w:val="TableParagraph"/>
              <w:spacing w:line="162" w:lineRule="exact"/>
              <w:ind w:left="325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0.44</w:t>
            </w:r>
          </w:p>
        </w:tc>
        <w:tc>
          <w:tcPr>
            <w:tcW w:w="1744" w:type="dxa"/>
          </w:tcPr>
          <w:p>
            <w:pPr>
              <w:pStyle w:val="TableParagraph"/>
              <w:spacing w:line="162" w:lineRule="exact"/>
              <w:ind w:left="738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0.42</w:t>
            </w:r>
          </w:p>
        </w:tc>
        <w:tc>
          <w:tcPr>
            <w:tcW w:w="4402" w:type="dxa"/>
          </w:tcPr>
          <w:p>
            <w:pPr>
              <w:pStyle w:val="TableParagraph"/>
              <w:spacing w:line="162" w:lineRule="exact"/>
              <w:ind w:left="1361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Fickian diffusion</w:t>
            </w:r>
          </w:p>
        </w:tc>
      </w:tr>
      <w:tr>
        <w:trPr>
          <w:trHeight w:val="184" w:hRule="atLeast"/>
        </w:trPr>
        <w:tc>
          <w:tcPr>
            <w:tcW w:w="1938" w:type="dxa"/>
          </w:tcPr>
          <w:p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0.5&lt;n &lt; 1.0</w:t>
            </w:r>
          </w:p>
        </w:tc>
        <w:tc>
          <w:tcPr>
            <w:tcW w:w="1999" w:type="dxa"/>
          </w:tcPr>
          <w:p>
            <w:pPr>
              <w:pStyle w:val="TableParagraph"/>
              <w:spacing w:line="163" w:lineRule="exact"/>
              <w:ind w:left="32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0.45&lt;n &lt; 0.89</w:t>
            </w:r>
          </w:p>
        </w:tc>
        <w:tc>
          <w:tcPr>
            <w:tcW w:w="1744" w:type="dxa"/>
          </w:tcPr>
          <w:p>
            <w:pPr>
              <w:pStyle w:val="TableParagraph"/>
              <w:spacing w:line="163" w:lineRule="exact"/>
              <w:ind w:left="738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0.42&lt;n</w:t>
            </w:r>
            <w:r>
              <w:rPr>
                <w:color w:val="231F20"/>
                <w:spacing w:val="-23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&lt;</w:t>
            </w:r>
            <w:r>
              <w:rPr>
                <w:color w:val="231F20"/>
                <w:spacing w:val="-22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0.85</w:t>
            </w:r>
          </w:p>
        </w:tc>
        <w:tc>
          <w:tcPr>
            <w:tcW w:w="4402" w:type="dxa"/>
          </w:tcPr>
          <w:p>
            <w:pPr>
              <w:pStyle w:val="TableParagraph"/>
              <w:spacing w:line="163" w:lineRule="exact"/>
              <w:ind w:left="1361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Non-Fickian diffusion/anomalous transport</w:t>
            </w:r>
          </w:p>
        </w:tc>
      </w:tr>
      <w:tr>
        <w:trPr>
          <w:trHeight w:val="184" w:hRule="atLeast"/>
        </w:trPr>
        <w:tc>
          <w:tcPr>
            <w:tcW w:w="1938" w:type="dxa"/>
          </w:tcPr>
          <w:p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1.0</w:t>
            </w:r>
          </w:p>
        </w:tc>
        <w:tc>
          <w:tcPr>
            <w:tcW w:w="1999" w:type="dxa"/>
          </w:tcPr>
          <w:p>
            <w:pPr>
              <w:pStyle w:val="TableParagraph"/>
              <w:spacing w:line="163" w:lineRule="exact"/>
              <w:ind w:left="325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0.89</w:t>
            </w:r>
          </w:p>
        </w:tc>
        <w:tc>
          <w:tcPr>
            <w:tcW w:w="1744" w:type="dxa"/>
          </w:tcPr>
          <w:p>
            <w:pPr>
              <w:pStyle w:val="TableParagraph"/>
              <w:spacing w:line="163" w:lineRule="exact"/>
              <w:ind w:left="738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0.85-1.0</w:t>
            </w:r>
          </w:p>
        </w:tc>
        <w:tc>
          <w:tcPr>
            <w:tcW w:w="4402" w:type="dxa"/>
          </w:tcPr>
          <w:p>
            <w:pPr>
              <w:pStyle w:val="TableParagraph"/>
              <w:spacing w:line="163" w:lineRule="exact"/>
              <w:ind w:left="1361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Case II transport/non-Fickian case II</w:t>
            </w:r>
          </w:p>
        </w:tc>
      </w:tr>
      <w:tr>
        <w:trPr>
          <w:trHeight w:val="220" w:hRule="atLeast"/>
        </w:trPr>
        <w:tc>
          <w:tcPr>
            <w:tcW w:w="1938" w:type="dxa"/>
            <w:tcBorders>
              <w:bottom w:val="single" w:sz="8" w:space="0" w:color="231F2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&gt;1.0</w:t>
            </w:r>
          </w:p>
        </w:tc>
        <w:tc>
          <w:tcPr>
            <w:tcW w:w="1999" w:type="dxa"/>
            <w:tcBorders>
              <w:bottom w:val="single" w:sz="8" w:space="0" w:color="231F20"/>
            </w:tcBorders>
          </w:tcPr>
          <w:p>
            <w:pPr>
              <w:pStyle w:val="TableParagraph"/>
              <w:ind w:left="32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&gt;0.89</w:t>
            </w:r>
          </w:p>
        </w:tc>
        <w:tc>
          <w:tcPr>
            <w:tcW w:w="1744" w:type="dxa"/>
            <w:tcBorders>
              <w:bottom w:val="single" w:sz="8" w:space="0" w:color="231F20"/>
            </w:tcBorders>
          </w:tcPr>
          <w:p>
            <w:pPr>
              <w:pStyle w:val="TableParagraph"/>
              <w:ind w:left="738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&gt;1.0</w:t>
            </w:r>
          </w:p>
        </w:tc>
        <w:tc>
          <w:tcPr>
            <w:tcW w:w="4402" w:type="dxa"/>
            <w:tcBorders>
              <w:bottom w:val="single" w:sz="8" w:space="0" w:color="231F20"/>
            </w:tcBorders>
          </w:tcPr>
          <w:p>
            <w:pPr>
              <w:pStyle w:val="TableParagraph"/>
              <w:ind w:left="1361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Non-Fickian super case II</w:t>
            </w:r>
          </w:p>
        </w:tc>
      </w:tr>
    </w:tbl>
    <w:p>
      <w:pPr>
        <w:pStyle w:val="BodyText"/>
        <w:spacing w:before="6"/>
        <w:rPr>
          <w:sz w:val="28"/>
        </w:rPr>
      </w:pPr>
    </w:p>
    <w:tbl>
      <w:tblPr>
        <w:tblW w:w="0" w:type="auto"/>
        <w:jc w:val="left"/>
        <w:tblInd w:w="1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32"/>
        <w:gridCol w:w="1140"/>
        <w:gridCol w:w="765"/>
        <w:gridCol w:w="1020"/>
        <w:gridCol w:w="765"/>
        <w:gridCol w:w="840"/>
        <w:gridCol w:w="765"/>
        <w:gridCol w:w="996"/>
        <w:gridCol w:w="1659"/>
      </w:tblGrid>
      <w:tr>
        <w:trPr>
          <w:trHeight w:val="302" w:hRule="atLeast"/>
        </w:trPr>
        <w:tc>
          <w:tcPr>
            <w:tcW w:w="10082" w:type="dxa"/>
            <w:gridSpan w:val="9"/>
            <w:tcBorders>
              <w:bottom w:val="single" w:sz="8" w:space="0" w:color="231F20"/>
            </w:tcBorders>
          </w:tcPr>
          <w:p>
            <w:pPr>
              <w:pStyle w:val="TableParagraph"/>
              <w:spacing w:before="0"/>
              <w:ind w:left="2854" w:right="2854"/>
              <w:jc w:val="center"/>
              <w:rPr>
                <w:rFonts w:ascii="Caladea"/>
                <w:b/>
                <w:sz w:val="16"/>
              </w:rPr>
            </w:pPr>
            <w:r>
              <w:rPr>
                <w:rFonts w:ascii="Caladea"/>
                <w:b/>
                <w:color w:val="231F20"/>
                <w:sz w:val="16"/>
              </w:rPr>
              <w:t>Table 4: Correlation coefficient for different kinetic models</w:t>
            </w:r>
          </w:p>
        </w:tc>
      </w:tr>
      <w:tr>
        <w:trPr>
          <w:trHeight w:val="289" w:hRule="atLeast"/>
        </w:trPr>
        <w:tc>
          <w:tcPr>
            <w:tcW w:w="2132" w:type="dxa"/>
            <w:tcBorders>
              <w:top w:val="single" w:sz="8" w:space="0" w:color="231F20"/>
            </w:tcBorders>
          </w:tcPr>
          <w:p>
            <w:pPr>
              <w:pStyle w:val="TableParagraph"/>
              <w:spacing w:before="62"/>
              <w:rPr>
                <w:rFonts w:ascii="Caladea"/>
                <w:b/>
                <w:sz w:val="16"/>
              </w:rPr>
            </w:pPr>
            <w:r>
              <w:rPr>
                <w:rFonts w:ascii="Caladea"/>
                <w:b/>
                <w:color w:val="231F20"/>
                <w:sz w:val="16"/>
              </w:rPr>
              <w:t>Formulation</w:t>
            </w:r>
          </w:p>
        </w:tc>
        <w:tc>
          <w:tcPr>
            <w:tcW w:w="1140" w:type="dxa"/>
            <w:tcBorders>
              <w:top w:val="single" w:sz="8" w:space="0" w:color="231F20"/>
              <w:bottom w:val="single" w:sz="4" w:space="0" w:color="231F20"/>
            </w:tcBorders>
          </w:tcPr>
          <w:p>
            <w:pPr>
              <w:pStyle w:val="TableParagraph"/>
              <w:spacing w:before="62"/>
              <w:rPr>
                <w:rFonts w:ascii="Caladea"/>
                <w:b/>
                <w:sz w:val="16"/>
              </w:rPr>
            </w:pPr>
            <w:r>
              <w:rPr>
                <w:rFonts w:ascii="Caladea"/>
                <w:b/>
                <w:color w:val="231F20"/>
                <w:sz w:val="16"/>
              </w:rPr>
              <w:t>Zero-order</w:t>
            </w:r>
          </w:p>
        </w:tc>
        <w:tc>
          <w:tcPr>
            <w:tcW w:w="765" w:type="dxa"/>
            <w:tcBorders>
              <w:top w:val="single" w:sz="8" w:space="0" w:color="231F2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020" w:type="dxa"/>
            <w:tcBorders>
              <w:top w:val="single" w:sz="8" w:space="0" w:color="231F20"/>
              <w:bottom w:val="single" w:sz="4" w:space="0" w:color="231F20"/>
            </w:tcBorders>
          </w:tcPr>
          <w:p>
            <w:pPr>
              <w:pStyle w:val="TableParagraph"/>
              <w:spacing w:before="62"/>
              <w:rPr>
                <w:rFonts w:ascii="Caladea"/>
                <w:b/>
                <w:sz w:val="16"/>
              </w:rPr>
            </w:pPr>
            <w:r>
              <w:rPr>
                <w:rFonts w:ascii="Caladea"/>
                <w:b/>
                <w:color w:val="231F20"/>
                <w:sz w:val="16"/>
              </w:rPr>
              <w:t>First-order</w:t>
            </w:r>
          </w:p>
        </w:tc>
        <w:tc>
          <w:tcPr>
            <w:tcW w:w="765" w:type="dxa"/>
            <w:tcBorders>
              <w:top w:val="single" w:sz="8" w:space="0" w:color="231F2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single" w:sz="8" w:space="0" w:color="231F20"/>
              <w:bottom w:val="single" w:sz="4" w:space="0" w:color="231F20"/>
            </w:tcBorders>
          </w:tcPr>
          <w:p>
            <w:pPr>
              <w:pStyle w:val="TableParagraph"/>
              <w:spacing w:before="62"/>
              <w:rPr>
                <w:rFonts w:ascii="Caladea"/>
                <w:b/>
                <w:sz w:val="16"/>
              </w:rPr>
            </w:pPr>
            <w:r>
              <w:rPr>
                <w:rFonts w:ascii="Caladea"/>
                <w:b/>
                <w:color w:val="231F20"/>
                <w:sz w:val="16"/>
              </w:rPr>
              <w:t>Higuchi</w:t>
            </w:r>
          </w:p>
        </w:tc>
        <w:tc>
          <w:tcPr>
            <w:tcW w:w="3420" w:type="dxa"/>
            <w:gridSpan w:val="3"/>
            <w:tcBorders>
              <w:top w:val="single" w:sz="8" w:space="0" w:color="231F20"/>
            </w:tcBorders>
          </w:tcPr>
          <w:p>
            <w:pPr>
              <w:pStyle w:val="TableParagraph"/>
              <w:spacing w:before="62"/>
              <w:ind w:left="825"/>
              <w:rPr>
                <w:rFonts w:ascii="Caladea"/>
                <w:b/>
                <w:sz w:val="16"/>
              </w:rPr>
            </w:pPr>
            <w:r>
              <w:rPr>
                <w:rFonts w:ascii="Caladea"/>
                <w:b/>
                <w:color w:val="231F20"/>
                <w:sz w:val="16"/>
              </w:rPr>
              <w:t>Korsmeyer-Peppas</w:t>
            </w:r>
          </w:p>
        </w:tc>
      </w:tr>
      <w:tr>
        <w:trPr>
          <w:trHeight w:val="294" w:hRule="atLeast"/>
        </w:trPr>
        <w:tc>
          <w:tcPr>
            <w:tcW w:w="2132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14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67"/>
              <w:rPr>
                <w:rFonts w:ascii="Caladea"/>
                <w:b/>
                <w:sz w:val="16"/>
              </w:rPr>
            </w:pPr>
            <w:r>
              <w:rPr>
                <w:rFonts w:ascii="Caladea"/>
                <w:b/>
                <w:color w:val="231F20"/>
                <w:sz w:val="16"/>
              </w:rPr>
              <w:t>(R</w:t>
            </w:r>
            <w:r>
              <w:rPr>
                <w:rFonts w:ascii="Caladea"/>
                <w:b/>
                <w:color w:val="231F20"/>
                <w:position w:val="5"/>
                <w:sz w:val="9"/>
              </w:rPr>
              <w:t>2</w:t>
            </w:r>
            <w:r>
              <w:rPr>
                <w:rFonts w:ascii="Caladea"/>
                <w:b/>
                <w:color w:val="231F20"/>
                <w:sz w:val="16"/>
              </w:rPr>
              <w:t>)</w:t>
            </w:r>
          </w:p>
        </w:tc>
        <w:tc>
          <w:tcPr>
            <w:tcW w:w="765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02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67"/>
              <w:rPr>
                <w:rFonts w:ascii="Caladea"/>
                <w:b/>
                <w:sz w:val="16"/>
              </w:rPr>
            </w:pPr>
            <w:r>
              <w:rPr>
                <w:rFonts w:ascii="Caladea"/>
                <w:b/>
                <w:color w:val="231F20"/>
                <w:sz w:val="16"/>
              </w:rPr>
              <w:t>(R</w:t>
            </w:r>
            <w:r>
              <w:rPr>
                <w:rFonts w:ascii="Caladea"/>
                <w:b/>
                <w:color w:val="231F20"/>
                <w:position w:val="5"/>
                <w:sz w:val="9"/>
              </w:rPr>
              <w:t>2</w:t>
            </w:r>
            <w:r>
              <w:rPr>
                <w:rFonts w:ascii="Caladea"/>
                <w:b/>
                <w:color w:val="231F20"/>
                <w:sz w:val="16"/>
              </w:rPr>
              <w:t>)</w:t>
            </w:r>
          </w:p>
        </w:tc>
        <w:tc>
          <w:tcPr>
            <w:tcW w:w="765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67"/>
              <w:rPr>
                <w:rFonts w:ascii="Caladea"/>
                <w:b/>
                <w:sz w:val="16"/>
              </w:rPr>
            </w:pPr>
            <w:r>
              <w:rPr>
                <w:rFonts w:ascii="Caladea"/>
                <w:b/>
                <w:color w:val="231F20"/>
                <w:sz w:val="16"/>
              </w:rPr>
              <w:t>(R</w:t>
            </w:r>
            <w:r>
              <w:rPr>
                <w:rFonts w:ascii="Caladea"/>
                <w:b/>
                <w:color w:val="231F20"/>
                <w:position w:val="5"/>
                <w:sz w:val="9"/>
              </w:rPr>
              <w:t>2</w:t>
            </w:r>
            <w:r>
              <w:rPr>
                <w:rFonts w:ascii="Caladea"/>
                <w:b/>
                <w:color w:val="231F20"/>
                <w:sz w:val="16"/>
              </w:rPr>
              <w:t>)</w:t>
            </w:r>
          </w:p>
        </w:tc>
        <w:tc>
          <w:tcPr>
            <w:tcW w:w="765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996" w:type="dxa"/>
            <w:tcBorders>
              <w:top w:val="single" w:sz="2" w:space="0" w:color="231F20"/>
              <w:bottom w:val="single" w:sz="4" w:space="0" w:color="231F20"/>
            </w:tcBorders>
          </w:tcPr>
          <w:p>
            <w:pPr>
              <w:pStyle w:val="TableParagraph"/>
              <w:spacing w:before="67"/>
              <w:rPr>
                <w:rFonts w:ascii="Caladea"/>
                <w:b/>
                <w:sz w:val="16"/>
              </w:rPr>
            </w:pPr>
            <w:r>
              <w:rPr>
                <w:rFonts w:ascii="Caladea"/>
                <w:b/>
                <w:color w:val="231F20"/>
                <w:sz w:val="16"/>
              </w:rPr>
              <w:t>(R</w:t>
            </w:r>
            <w:r>
              <w:rPr>
                <w:rFonts w:ascii="Caladea"/>
                <w:b/>
                <w:color w:val="231F20"/>
                <w:position w:val="5"/>
                <w:sz w:val="9"/>
              </w:rPr>
              <w:t>2</w:t>
            </w:r>
            <w:r>
              <w:rPr>
                <w:rFonts w:ascii="Caladea"/>
                <w:b/>
                <w:color w:val="231F20"/>
                <w:sz w:val="16"/>
              </w:rPr>
              <w:t>)</w:t>
            </w:r>
          </w:p>
        </w:tc>
        <w:tc>
          <w:tcPr>
            <w:tcW w:w="1659" w:type="dxa"/>
            <w:tcBorders>
              <w:top w:val="single" w:sz="2" w:space="0" w:color="231F20"/>
              <w:bottom w:val="single" w:sz="4" w:space="0" w:color="231F20"/>
            </w:tcBorders>
          </w:tcPr>
          <w:p>
            <w:pPr>
              <w:pStyle w:val="TableParagraph"/>
              <w:spacing w:before="67"/>
              <w:ind w:left="549"/>
              <w:rPr>
                <w:rFonts w:ascii="Caladea"/>
                <w:b/>
                <w:sz w:val="16"/>
              </w:rPr>
            </w:pPr>
            <w:r>
              <w:rPr>
                <w:rFonts w:ascii="Caladea"/>
                <w:b/>
                <w:color w:val="231F20"/>
                <w:sz w:val="16"/>
              </w:rPr>
              <w:t>(n)</w:t>
            </w:r>
          </w:p>
        </w:tc>
      </w:tr>
      <w:tr>
        <w:trPr>
          <w:trHeight w:val="213" w:hRule="atLeast"/>
        </w:trPr>
        <w:tc>
          <w:tcPr>
            <w:tcW w:w="2132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162" w:lineRule="exact" w:before="31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F2</w:t>
            </w:r>
          </w:p>
        </w:tc>
        <w:tc>
          <w:tcPr>
            <w:tcW w:w="1140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162" w:lineRule="exact" w:before="31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0.746</w:t>
            </w:r>
          </w:p>
        </w:tc>
        <w:tc>
          <w:tcPr>
            <w:tcW w:w="765" w:type="dxa"/>
            <w:tcBorders>
              <w:top w:val="single" w:sz="4" w:space="0" w:color="231F2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020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162" w:lineRule="exact" w:before="31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0.995</w:t>
            </w:r>
          </w:p>
        </w:tc>
        <w:tc>
          <w:tcPr>
            <w:tcW w:w="765" w:type="dxa"/>
            <w:tcBorders>
              <w:top w:val="single" w:sz="4" w:space="0" w:color="231F2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162" w:lineRule="exact" w:before="31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0.971</w:t>
            </w:r>
          </w:p>
        </w:tc>
        <w:tc>
          <w:tcPr>
            <w:tcW w:w="765" w:type="dxa"/>
            <w:tcBorders>
              <w:top w:val="single" w:sz="4" w:space="0" w:color="231F2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996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162" w:lineRule="exact" w:before="31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0.968</w:t>
            </w:r>
          </w:p>
        </w:tc>
        <w:tc>
          <w:tcPr>
            <w:tcW w:w="1659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162" w:lineRule="exact" w:before="31"/>
              <w:ind w:left="549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0.654</w:t>
            </w:r>
          </w:p>
        </w:tc>
      </w:tr>
      <w:tr>
        <w:trPr>
          <w:trHeight w:val="220" w:hRule="atLeast"/>
        </w:trPr>
        <w:tc>
          <w:tcPr>
            <w:tcW w:w="2132" w:type="dxa"/>
            <w:tcBorders>
              <w:bottom w:val="single" w:sz="8" w:space="0" w:color="231F2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F1</w:t>
            </w:r>
          </w:p>
        </w:tc>
        <w:tc>
          <w:tcPr>
            <w:tcW w:w="1140" w:type="dxa"/>
            <w:tcBorders>
              <w:bottom w:val="single" w:sz="8" w:space="0" w:color="231F2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0.853</w:t>
            </w:r>
          </w:p>
        </w:tc>
        <w:tc>
          <w:tcPr>
            <w:tcW w:w="765" w:type="dxa"/>
            <w:tcBorders>
              <w:bottom w:val="single" w:sz="8" w:space="0" w:color="231F2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020" w:type="dxa"/>
            <w:tcBorders>
              <w:bottom w:val="single" w:sz="8" w:space="0" w:color="231F2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0.985</w:t>
            </w:r>
          </w:p>
        </w:tc>
        <w:tc>
          <w:tcPr>
            <w:tcW w:w="765" w:type="dxa"/>
            <w:tcBorders>
              <w:bottom w:val="single" w:sz="8" w:space="0" w:color="231F2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bottom w:val="single" w:sz="8" w:space="0" w:color="231F2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0.982</w:t>
            </w:r>
          </w:p>
        </w:tc>
        <w:tc>
          <w:tcPr>
            <w:tcW w:w="765" w:type="dxa"/>
            <w:tcBorders>
              <w:bottom w:val="single" w:sz="8" w:space="0" w:color="231F2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996" w:type="dxa"/>
            <w:tcBorders>
              <w:bottom w:val="single" w:sz="8" w:space="0" w:color="231F2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0.972</w:t>
            </w:r>
          </w:p>
        </w:tc>
        <w:tc>
          <w:tcPr>
            <w:tcW w:w="1659" w:type="dxa"/>
            <w:tcBorders>
              <w:bottom w:val="single" w:sz="8" w:space="0" w:color="231F20"/>
            </w:tcBorders>
          </w:tcPr>
          <w:p>
            <w:pPr>
              <w:pStyle w:val="TableParagraph"/>
              <w:ind w:left="549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0.777</w:t>
            </w:r>
          </w:p>
        </w:tc>
      </w:tr>
    </w:tbl>
    <w:p>
      <w:pPr>
        <w:spacing w:after="0"/>
        <w:rPr>
          <w:sz w:val="16"/>
        </w:rPr>
        <w:sectPr>
          <w:type w:val="continuous"/>
          <w:pgSz w:w="11910" w:h="16840"/>
          <w:pgMar w:top="140" w:bottom="280" w:left="800" w:right="800"/>
        </w:sectPr>
      </w:pPr>
    </w:p>
    <w:p>
      <w:pPr>
        <w:pStyle w:val="BodyText"/>
        <w:spacing w:before="4"/>
        <w:rPr>
          <w:sz w:val="19"/>
        </w:rPr>
      </w:pPr>
    </w:p>
    <w:p>
      <w:pPr>
        <w:spacing w:after="0"/>
        <w:rPr>
          <w:sz w:val="19"/>
        </w:rPr>
        <w:sectPr>
          <w:pgSz w:w="11910" w:h="16840"/>
          <w:pgMar w:header="695" w:footer="952" w:top="1080" w:bottom="1140" w:left="800" w:right="800"/>
        </w:sectPr>
      </w:pPr>
    </w:p>
    <w:p>
      <w:pPr>
        <w:pStyle w:val="Heading2"/>
        <w:spacing w:before="104"/>
      </w:pPr>
      <w:r>
        <w:rPr>
          <w:color w:val="231F20"/>
        </w:rPr>
        <w:t>CONFLICTS OF INTEREST</w:t>
      </w:r>
    </w:p>
    <w:p>
      <w:pPr>
        <w:pStyle w:val="BodyText"/>
        <w:spacing w:line="259" w:lineRule="auto" w:before="137"/>
        <w:ind w:left="112"/>
      </w:pPr>
      <w:r>
        <w:rPr>
          <w:color w:val="231F20"/>
          <w:w w:val="85"/>
        </w:rPr>
        <w:t>The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authors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declare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that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they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have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no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conflicts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interest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regarding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the </w:t>
      </w:r>
      <w:r>
        <w:rPr>
          <w:color w:val="231F20"/>
          <w:w w:val="95"/>
        </w:rPr>
        <w:t>publication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this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article.</w:t>
      </w:r>
    </w:p>
    <w:p>
      <w:pPr>
        <w:pStyle w:val="BodyText"/>
        <w:spacing w:before="10"/>
        <w:rPr>
          <w:sz w:val="15"/>
        </w:rPr>
      </w:pPr>
    </w:p>
    <w:p>
      <w:pPr>
        <w:pStyle w:val="Heading2"/>
        <w:spacing w:before="1"/>
      </w:pPr>
      <w:r>
        <w:rPr>
          <w:color w:val="231F20"/>
        </w:rPr>
        <w:t>REFERENCES</w:t>
      </w:r>
    </w:p>
    <w:p>
      <w:pPr>
        <w:pStyle w:val="ListParagraph"/>
        <w:numPr>
          <w:ilvl w:val="0"/>
          <w:numId w:val="2"/>
        </w:numPr>
        <w:tabs>
          <w:tab w:pos="393" w:val="left" w:leader="none"/>
        </w:tabs>
        <w:spacing w:line="235" w:lineRule="auto" w:before="118" w:after="0"/>
        <w:ind w:left="392" w:right="39" w:hanging="280"/>
        <w:jc w:val="both"/>
        <w:rPr>
          <w:sz w:val="16"/>
        </w:rPr>
      </w:pPr>
      <w:r>
        <w:rPr>
          <w:color w:val="231F20"/>
          <w:sz w:val="16"/>
        </w:rPr>
        <w:t>Yiyun C, Tongwen X. Dendrimers as potential drug carriers. Part I. Solubilization of non-steroidal anti-inflammatory drugs in the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presence of polyamidoamine dendrimers. Eur J Med Chem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2005;40:1188-92.</w:t>
      </w:r>
    </w:p>
    <w:p>
      <w:pPr>
        <w:pStyle w:val="ListParagraph"/>
        <w:numPr>
          <w:ilvl w:val="0"/>
          <w:numId w:val="2"/>
        </w:numPr>
        <w:tabs>
          <w:tab w:pos="393" w:val="left" w:leader="none"/>
        </w:tabs>
        <w:spacing w:line="235" w:lineRule="auto" w:before="1" w:after="0"/>
        <w:ind w:left="392" w:right="40" w:hanging="280"/>
        <w:jc w:val="both"/>
        <w:rPr>
          <w:sz w:val="16"/>
        </w:rPr>
      </w:pPr>
      <w:r>
        <w:rPr>
          <w:color w:val="231F20"/>
          <w:sz w:val="16"/>
        </w:rPr>
        <w:t>Reis </w:t>
      </w:r>
      <w:r>
        <w:rPr>
          <w:color w:val="231F20"/>
          <w:spacing w:val="-6"/>
          <w:sz w:val="16"/>
        </w:rPr>
        <w:t>CP, </w:t>
      </w:r>
      <w:r>
        <w:rPr>
          <w:color w:val="231F20"/>
          <w:sz w:val="16"/>
        </w:rPr>
        <w:t>Ferreira </w:t>
      </w:r>
      <w:r>
        <w:rPr>
          <w:color w:val="231F20"/>
          <w:spacing w:val="-7"/>
          <w:sz w:val="16"/>
        </w:rPr>
        <w:t>JP,</w:t>
      </w:r>
      <w:r>
        <w:rPr>
          <w:color w:val="231F20"/>
          <w:spacing w:val="26"/>
          <w:sz w:val="16"/>
        </w:rPr>
        <w:t> </w:t>
      </w:r>
      <w:r>
        <w:rPr>
          <w:color w:val="231F20"/>
          <w:sz w:val="16"/>
        </w:rPr>
        <w:t>Candeias S. Ibuprofen nanoparticles for oral delivery : Proof of concept. Biotherapeutic Discov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2013;4:1-5.</w:t>
      </w:r>
    </w:p>
    <w:p>
      <w:pPr>
        <w:pStyle w:val="ListParagraph"/>
        <w:numPr>
          <w:ilvl w:val="0"/>
          <w:numId w:val="2"/>
        </w:numPr>
        <w:tabs>
          <w:tab w:pos="393" w:val="left" w:leader="none"/>
        </w:tabs>
        <w:spacing w:line="235" w:lineRule="auto" w:before="1" w:after="0"/>
        <w:ind w:left="392" w:right="39" w:hanging="280"/>
        <w:jc w:val="both"/>
        <w:rPr>
          <w:sz w:val="16"/>
        </w:rPr>
      </w:pPr>
      <w:r>
        <w:rPr>
          <w:color w:val="231F20"/>
          <w:sz w:val="16"/>
        </w:rPr>
        <w:t>Jiang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B,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Hu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L,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Gao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C,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Shen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J.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Ibuprofen-loaded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nanoparticles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prepared by a co-precipitation method and their release properties. Int J Pharm 2005;304:220-30.</w:t>
      </w:r>
    </w:p>
    <w:p>
      <w:pPr>
        <w:pStyle w:val="ListParagraph"/>
        <w:numPr>
          <w:ilvl w:val="0"/>
          <w:numId w:val="2"/>
        </w:numPr>
        <w:tabs>
          <w:tab w:pos="393" w:val="left" w:leader="none"/>
        </w:tabs>
        <w:spacing w:line="235" w:lineRule="auto" w:before="1" w:after="0"/>
        <w:ind w:left="392" w:right="38" w:hanging="280"/>
        <w:jc w:val="both"/>
        <w:rPr>
          <w:sz w:val="16"/>
        </w:rPr>
      </w:pPr>
      <w:r>
        <w:rPr>
          <w:color w:val="231F20"/>
          <w:sz w:val="16"/>
        </w:rPr>
        <w:t>Zhu  KJ,  Li  </w:t>
      </w:r>
      <w:r>
        <w:rPr>
          <w:color w:val="231F20"/>
          <w:spacing w:val="-11"/>
          <w:sz w:val="16"/>
        </w:rPr>
        <w:t>Y,</w:t>
      </w:r>
      <w:r>
        <w:rPr>
          <w:color w:val="231F20"/>
          <w:spacing w:val="18"/>
          <w:sz w:val="16"/>
        </w:rPr>
        <w:t> </w:t>
      </w:r>
      <w:r>
        <w:rPr>
          <w:color w:val="231F20"/>
          <w:sz w:val="16"/>
        </w:rPr>
        <w:t>Jiang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HL,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3"/>
          <w:sz w:val="16"/>
        </w:rPr>
        <w:t>Yasuda  </w:t>
      </w:r>
      <w:r>
        <w:rPr>
          <w:color w:val="231F20"/>
          <w:sz w:val="16"/>
        </w:rPr>
        <w:t>H,  Ichimaru  A,  </w:t>
      </w:r>
      <w:r>
        <w:rPr>
          <w:color w:val="231F20"/>
          <w:spacing w:val="-3"/>
          <w:sz w:val="16"/>
        </w:rPr>
        <w:t>Yamamoto   </w:t>
      </w:r>
      <w:r>
        <w:rPr>
          <w:color w:val="231F20"/>
          <w:sz w:val="16"/>
        </w:rPr>
        <w:t>K, </w:t>
      </w:r>
      <w:r>
        <w:rPr>
          <w:i/>
          <w:color w:val="231F20"/>
          <w:sz w:val="16"/>
        </w:rPr>
        <w:t>et al</w:t>
      </w:r>
      <w:r>
        <w:rPr>
          <w:color w:val="231F20"/>
          <w:sz w:val="16"/>
        </w:rPr>
        <w:t>. Preparation, characterization and </w:t>
      </w:r>
      <w:r>
        <w:rPr>
          <w:i/>
          <w:color w:val="231F20"/>
          <w:sz w:val="16"/>
        </w:rPr>
        <w:t>in vitro </w:t>
      </w:r>
      <w:r>
        <w:rPr>
          <w:color w:val="231F20"/>
          <w:sz w:val="16"/>
        </w:rPr>
        <w:t>release properties of ibuprofen-loaded microspheres based on polylactide, poly(epsilon- caprolactone) and their copolymers. J Microencapsul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2005;22:25-36.</w:t>
      </w:r>
    </w:p>
    <w:p>
      <w:pPr>
        <w:pStyle w:val="ListParagraph"/>
        <w:numPr>
          <w:ilvl w:val="0"/>
          <w:numId w:val="2"/>
        </w:numPr>
        <w:tabs>
          <w:tab w:pos="393" w:val="left" w:leader="none"/>
        </w:tabs>
        <w:spacing w:line="235" w:lineRule="auto" w:before="1" w:after="0"/>
        <w:ind w:left="392" w:right="38" w:hanging="280"/>
        <w:jc w:val="both"/>
        <w:rPr>
          <w:sz w:val="16"/>
        </w:rPr>
      </w:pPr>
      <w:r>
        <w:rPr>
          <w:color w:val="231F20"/>
          <w:sz w:val="16"/>
        </w:rPr>
        <w:t>Kumar S, Rajkumar S, Ruckmani K. Formulation and evaluation of ibuprofen loaded nanoparticles for improved anti-inflamatory </w:t>
      </w:r>
      <w:r>
        <w:rPr>
          <w:color w:val="231F20"/>
          <w:spacing w:val="-4"/>
          <w:sz w:val="16"/>
        </w:rPr>
        <w:t>activity. </w:t>
      </w:r>
      <w:r>
        <w:rPr>
          <w:color w:val="231F20"/>
          <w:sz w:val="16"/>
        </w:rPr>
        <w:t>Acta pharm Turc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2003;45:125-30.</w:t>
      </w:r>
    </w:p>
    <w:p>
      <w:pPr>
        <w:pStyle w:val="ListParagraph"/>
        <w:numPr>
          <w:ilvl w:val="0"/>
          <w:numId w:val="2"/>
        </w:numPr>
        <w:tabs>
          <w:tab w:pos="393" w:val="left" w:leader="none"/>
        </w:tabs>
        <w:spacing w:line="235" w:lineRule="auto" w:before="1" w:after="0"/>
        <w:ind w:left="392" w:right="39" w:hanging="280"/>
        <w:jc w:val="both"/>
        <w:rPr>
          <w:sz w:val="16"/>
        </w:rPr>
      </w:pPr>
      <w:r>
        <w:rPr>
          <w:color w:val="231F20"/>
          <w:sz w:val="16"/>
        </w:rPr>
        <w:t>Potthast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H,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Dressman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JB,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Junginger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HE,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Midha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KK,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Oeser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H,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Shah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7"/>
          <w:sz w:val="16"/>
        </w:rPr>
        <w:t>VP, </w:t>
      </w:r>
      <w:r>
        <w:rPr>
          <w:i/>
          <w:color w:val="231F20"/>
          <w:sz w:val="16"/>
        </w:rPr>
        <w:t>et al. </w:t>
      </w:r>
      <w:r>
        <w:rPr>
          <w:color w:val="231F20"/>
          <w:sz w:val="16"/>
        </w:rPr>
        <w:t>Biowaiver monographs for immediate release solid oral dosage forms: Ibuprofen. J Pharm Sci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2005;94:2121-31.</w:t>
      </w:r>
    </w:p>
    <w:p>
      <w:pPr>
        <w:pStyle w:val="ListParagraph"/>
        <w:numPr>
          <w:ilvl w:val="0"/>
          <w:numId w:val="2"/>
        </w:numPr>
        <w:tabs>
          <w:tab w:pos="393" w:val="left" w:leader="none"/>
        </w:tabs>
        <w:spacing w:line="235" w:lineRule="auto" w:before="1" w:after="0"/>
        <w:ind w:left="392" w:right="41" w:hanging="280"/>
        <w:jc w:val="both"/>
        <w:rPr>
          <w:sz w:val="16"/>
        </w:rPr>
      </w:pPr>
      <w:r>
        <w:rPr>
          <w:color w:val="231F20"/>
          <w:sz w:val="16"/>
        </w:rPr>
        <w:t>Sweetman CS. Martindale: The Complete Drug Reference. Scriba GKE. </w:t>
      </w:r>
      <w:r>
        <w:rPr>
          <w:color w:val="231F20"/>
          <w:spacing w:val="-6"/>
          <w:sz w:val="16"/>
        </w:rPr>
        <w:t>Vol. </w:t>
      </w:r>
      <w:r>
        <w:rPr>
          <w:color w:val="231F20"/>
          <w:sz w:val="16"/>
        </w:rPr>
        <w:t>74. London, UK: Pharmaceuticl Press; 2011. p.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647-8.</w:t>
      </w:r>
    </w:p>
    <w:p>
      <w:pPr>
        <w:pStyle w:val="ListParagraph"/>
        <w:numPr>
          <w:ilvl w:val="0"/>
          <w:numId w:val="2"/>
        </w:numPr>
        <w:tabs>
          <w:tab w:pos="393" w:val="left" w:leader="none"/>
        </w:tabs>
        <w:spacing w:line="235" w:lineRule="auto" w:before="1" w:after="0"/>
        <w:ind w:left="392" w:right="39" w:hanging="280"/>
        <w:jc w:val="both"/>
        <w:rPr>
          <w:sz w:val="16"/>
        </w:rPr>
      </w:pPr>
      <w:r>
        <w:rPr>
          <w:color w:val="231F20"/>
          <w:sz w:val="16"/>
        </w:rPr>
        <w:t>Moore N. Ibuprofen: A journey from prescription to over-the-counter use. J R Soc Med 2007;100 Suppl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48:2-6.</w:t>
      </w:r>
    </w:p>
    <w:p>
      <w:pPr>
        <w:pStyle w:val="ListParagraph"/>
        <w:numPr>
          <w:ilvl w:val="0"/>
          <w:numId w:val="2"/>
        </w:numPr>
        <w:tabs>
          <w:tab w:pos="393" w:val="left" w:leader="none"/>
        </w:tabs>
        <w:spacing w:line="235" w:lineRule="auto" w:before="1" w:after="0"/>
        <w:ind w:left="392" w:right="39" w:hanging="280"/>
        <w:jc w:val="both"/>
        <w:rPr>
          <w:sz w:val="16"/>
        </w:rPr>
      </w:pPr>
      <w:r>
        <w:rPr>
          <w:color w:val="231F20"/>
          <w:sz w:val="16"/>
        </w:rPr>
        <w:t>Borhade N, Pathan AR, Halder S, Karwa M, Dhiman  M,  Pamidiboina </w:t>
      </w:r>
      <w:r>
        <w:rPr>
          <w:color w:val="231F20"/>
          <w:spacing w:val="-11"/>
          <w:sz w:val="16"/>
        </w:rPr>
        <w:t>V, </w:t>
      </w:r>
      <w:r>
        <w:rPr>
          <w:i/>
          <w:color w:val="231F20"/>
          <w:sz w:val="16"/>
        </w:rPr>
        <w:t>et al. </w:t>
      </w:r>
      <w:r>
        <w:rPr>
          <w:color w:val="231F20"/>
          <w:sz w:val="16"/>
        </w:rPr>
        <w:t>NO-NSAIDs. Part 3: Nitric oxide-releasing prodrugs of non-steroidal anti-inflammatory drugs. Chem Pharm Bull (Tokyo)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2012;60:465-81.</w:t>
      </w:r>
    </w:p>
    <w:p>
      <w:pPr>
        <w:pStyle w:val="ListParagraph"/>
        <w:numPr>
          <w:ilvl w:val="0"/>
          <w:numId w:val="2"/>
        </w:numPr>
        <w:tabs>
          <w:tab w:pos="393" w:val="left" w:leader="none"/>
        </w:tabs>
        <w:spacing w:line="235" w:lineRule="auto" w:before="1" w:after="0"/>
        <w:ind w:left="392" w:right="41" w:hanging="280"/>
        <w:jc w:val="both"/>
        <w:rPr>
          <w:sz w:val="16"/>
        </w:rPr>
      </w:pPr>
      <w:r>
        <w:rPr>
          <w:color w:val="231F20"/>
          <w:sz w:val="16"/>
        </w:rPr>
        <w:t>Shimpi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S,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Chauhan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B,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Shimpi</w:t>
      </w:r>
      <w:r>
        <w:rPr>
          <w:color w:val="231F20"/>
          <w:spacing w:val="-9"/>
          <w:sz w:val="16"/>
        </w:rPr>
        <w:t> P.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Cyclodextrins: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Application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different routes of drug administration. Acta Pharm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2005;55:139-56.</w:t>
      </w:r>
    </w:p>
    <w:p>
      <w:pPr>
        <w:pStyle w:val="ListParagraph"/>
        <w:numPr>
          <w:ilvl w:val="0"/>
          <w:numId w:val="2"/>
        </w:numPr>
        <w:tabs>
          <w:tab w:pos="393" w:val="left" w:leader="none"/>
        </w:tabs>
        <w:spacing w:line="235" w:lineRule="auto" w:before="1" w:after="0"/>
        <w:ind w:left="392" w:right="39" w:hanging="280"/>
        <w:jc w:val="both"/>
        <w:rPr>
          <w:sz w:val="16"/>
        </w:rPr>
      </w:pPr>
      <w:r>
        <w:rPr>
          <w:color w:val="231F20"/>
          <w:sz w:val="16"/>
        </w:rPr>
        <w:t>Mansouri M, Pouretedal HR, </w:t>
      </w:r>
      <w:r>
        <w:rPr>
          <w:color w:val="231F20"/>
          <w:spacing w:val="-3"/>
          <w:sz w:val="16"/>
        </w:rPr>
        <w:t>Vosoughi </w:t>
      </w:r>
      <w:r>
        <w:rPr>
          <w:color w:val="231F20"/>
          <w:spacing w:val="-11"/>
          <w:sz w:val="16"/>
        </w:rPr>
        <w:t>V. </w:t>
      </w:r>
      <w:r>
        <w:rPr>
          <w:color w:val="231F20"/>
          <w:sz w:val="16"/>
        </w:rPr>
        <w:t>Preparation and characterization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ibuprofen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nanoparticles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by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using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solvent/antisolvent precipitation. Open Conf Proc J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2011;2:88-94.</w:t>
      </w:r>
    </w:p>
    <w:p>
      <w:pPr>
        <w:pStyle w:val="ListParagraph"/>
        <w:numPr>
          <w:ilvl w:val="0"/>
          <w:numId w:val="2"/>
        </w:numPr>
        <w:tabs>
          <w:tab w:pos="393" w:val="left" w:leader="none"/>
        </w:tabs>
        <w:spacing w:line="235" w:lineRule="auto" w:before="1" w:after="0"/>
        <w:ind w:left="392" w:right="40" w:hanging="280"/>
        <w:jc w:val="both"/>
        <w:rPr>
          <w:sz w:val="16"/>
        </w:rPr>
      </w:pPr>
      <w:r>
        <w:rPr>
          <w:color w:val="231F20"/>
          <w:sz w:val="16"/>
        </w:rPr>
        <w:t>Nada A, Bandarkar </w:t>
      </w:r>
      <w:r>
        <w:rPr>
          <w:color w:val="231F20"/>
          <w:spacing w:val="-7"/>
          <w:sz w:val="16"/>
        </w:rPr>
        <w:t>F,</w:t>
      </w:r>
      <w:r>
        <w:rPr>
          <w:color w:val="231F20"/>
          <w:spacing w:val="26"/>
          <w:sz w:val="16"/>
        </w:rPr>
        <w:t> </w:t>
      </w:r>
      <w:r>
        <w:rPr>
          <w:color w:val="231F20"/>
          <w:sz w:val="16"/>
        </w:rPr>
        <w:t>Al-basarah </w:t>
      </w:r>
      <w:r>
        <w:rPr>
          <w:color w:val="231F20"/>
          <w:spacing w:val="-11"/>
          <w:sz w:val="16"/>
        </w:rPr>
        <w:t>Y. </w:t>
      </w:r>
      <w:r>
        <w:rPr>
          <w:color w:val="231F20"/>
          <w:sz w:val="16"/>
        </w:rPr>
        <w:t>Formulation of ibuprofen nanoparticles. Asian J Pharm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2017;11:4-10.</w:t>
      </w:r>
    </w:p>
    <w:p>
      <w:pPr>
        <w:pStyle w:val="ListParagraph"/>
        <w:numPr>
          <w:ilvl w:val="0"/>
          <w:numId w:val="2"/>
        </w:numPr>
        <w:tabs>
          <w:tab w:pos="393" w:val="left" w:leader="none"/>
        </w:tabs>
        <w:spacing w:line="235" w:lineRule="auto" w:before="0" w:after="0"/>
        <w:ind w:left="392" w:right="39" w:hanging="280"/>
        <w:jc w:val="both"/>
        <w:rPr>
          <w:sz w:val="16"/>
        </w:rPr>
      </w:pPr>
      <w:r>
        <w:rPr>
          <w:color w:val="231F20"/>
          <w:sz w:val="16"/>
        </w:rPr>
        <w:t>Csóka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G,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Marton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S,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Zelko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R,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Otomo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N,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Antal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I.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Application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sucrose fatty acid esters in transdermal therapeutic systems. Eur J Pharm Biopharm 2007;65:233-7.</w:t>
      </w:r>
    </w:p>
    <w:p>
      <w:pPr>
        <w:pStyle w:val="ListParagraph"/>
        <w:numPr>
          <w:ilvl w:val="0"/>
          <w:numId w:val="2"/>
        </w:numPr>
        <w:tabs>
          <w:tab w:pos="393" w:val="left" w:leader="none"/>
        </w:tabs>
        <w:spacing w:line="235" w:lineRule="auto" w:before="1" w:after="0"/>
        <w:ind w:left="392" w:right="38" w:hanging="280"/>
        <w:jc w:val="both"/>
        <w:rPr>
          <w:sz w:val="16"/>
        </w:rPr>
      </w:pPr>
      <w:r>
        <w:rPr>
          <w:color w:val="231F20"/>
          <w:sz w:val="16"/>
        </w:rPr>
        <w:t>Mehnert </w:t>
      </w:r>
      <w:r>
        <w:rPr>
          <w:color w:val="231F20"/>
          <w:spacing w:val="-8"/>
          <w:sz w:val="16"/>
        </w:rPr>
        <w:t>W, </w:t>
      </w:r>
      <w:r>
        <w:rPr>
          <w:color w:val="231F20"/>
          <w:sz w:val="16"/>
        </w:rPr>
        <w:t>Mäder K. Solid lipid nanoparticles: Production, characterization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applications.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Adv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Drug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Deliv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Rev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2001;47:165-96.</w:t>
      </w:r>
    </w:p>
    <w:p>
      <w:pPr>
        <w:pStyle w:val="ListParagraph"/>
        <w:numPr>
          <w:ilvl w:val="0"/>
          <w:numId w:val="2"/>
        </w:numPr>
        <w:tabs>
          <w:tab w:pos="393" w:val="left" w:leader="none"/>
        </w:tabs>
        <w:spacing w:line="235" w:lineRule="auto" w:before="1" w:after="0"/>
        <w:ind w:left="392" w:right="39" w:hanging="280"/>
        <w:jc w:val="both"/>
        <w:rPr>
          <w:sz w:val="16"/>
        </w:rPr>
      </w:pPr>
      <w:r>
        <w:rPr>
          <w:color w:val="231F20"/>
          <w:sz w:val="16"/>
        </w:rPr>
        <w:t>Sreelola </w:t>
      </w:r>
      <w:r>
        <w:rPr>
          <w:color w:val="231F20"/>
          <w:spacing w:val="-11"/>
          <w:sz w:val="16"/>
        </w:rPr>
        <w:t>V, </w:t>
      </w:r>
      <w:r>
        <w:rPr>
          <w:color w:val="231F20"/>
          <w:sz w:val="16"/>
        </w:rPr>
        <w:t>Sailaja AK. Preparation and characterisation of ibuprofen loaded polymeric nanoparticles by solvent evaporation technique. Int J Pharm Pharm Sci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2014;6:6-11.</w:t>
      </w:r>
    </w:p>
    <w:p>
      <w:pPr>
        <w:pStyle w:val="ListParagraph"/>
        <w:numPr>
          <w:ilvl w:val="0"/>
          <w:numId w:val="2"/>
        </w:numPr>
        <w:tabs>
          <w:tab w:pos="393" w:val="left" w:leader="none"/>
        </w:tabs>
        <w:spacing w:line="235" w:lineRule="auto" w:before="1" w:after="0"/>
        <w:ind w:left="392" w:right="39" w:hanging="280"/>
        <w:jc w:val="both"/>
        <w:rPr>
          <w:sz w:val="16"/>
        </w:rPr>
      </w:pPr>
      <w:r>
        <w:rPr>
          <w:color w:val="231F20"/>
          <w:sz w:val="16"/>
        </w:rPr>
        <w:t>Jan SU, Khan GM, Hussain I. Formulation development and investigation of ibuprofen controlled release tablets with hydrophilic polymers and the effect of co-excipients on drug release patterns. Pak</w:t>
      </w:r>
      <w:r>
        <w:rPr>
          <w:color w:val="231F20"/>
          <w:spacing w:val="-27"/>
          <w:sz w:val="16"/>
        </w:rPr>
        <w:t> </w:t>
      </w:r>
      <w:r>
        <w:rPr>
          <w:color w:val="231F20"/>
          <w:sz w:val="16"/>
        </w:rPr>
        <w:t>J Pharm Sci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2012;25:751-6.</w:t>
      </w:r>
    </w:p>
    <w:p>
      <w:pPr>
        <w:pStyle w:val="ListParagraph"/>
        <w:numPr>
          <w:ilvl w:val="0"/>
          <w:numId w:val="2"/>
        </w:numPr>
        <w:tabs>
          <w:tab w:pos="393" w:val="left" w:leader="none"/>
        </w:tabs>
        <w:spacing w:line="235" w:lineRule="auto" w:before="2" w:after="0"/>
        <w:ind w:left="392" w:right="39" w:hanging="280"/>
        <w:jc w:val="both"/>
        <w:rPr>
          <w:sz w:val="16"/>
        </w:rPr>
      </w:pPr>
      <w:r>
        <w:rPr>
          <w:color w:val="231F20"/>
          <w:sz w:val="16"/>
        </w:rPr>
        <w:t>Omwoyo WN, Ogutu B, Oloo </w:t>
      </w:r>
      <w:r>
        <w:rPr>
          <w:color w:val="231F20"/>
          <w:spacing w:val="-7"/>
          <w:sz w:val="16"/>
        </w:rPr>
        <w:t>F, </w:t>
      </w:r>
      <w:r>
        <w:rPr>
          <w:color w:val="231F20"/>
          <w:sz w:val="16"/>
        </w:rPr>
        <w:t>Swai H, Kalombo L, Melariri </w:t>
      </w:r>
      <w:r>
        <w:rPr>
          <w:color w:val="231F20"/>
          <w:spacing w:val="-9"/>
          <w:sz w:val="16"/>
        </w:rPr>
        <w:t>P, </w:t>
      </w:r>
      <w:r>
        <w:rPr>
          <w:i/>
          <w:color w:val="231F20"/>
          <w:sz w:val="16"/>
        </w:rPr>
        <w:t>et al. </w:t>
      </w:r>
      <w:r>
        <w:rPr>
          <w:color w:val="231F20"/>
          <w:sz w:val="16"/>
        </w:rPr>
        <w:t>Preparation, characterization, and optimization of primaquine-loaded solid lipid nanoparticles. Int J Nanomedicine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2014;9:3865-74.</w:t>
      </w:r>
    </w:p>
    <w:p>
      <w:pPr>
        <w:pStyle w:val="ListParagraph"/>
        <w:numPr>
          <w:ilvl w:val="0"/>
          <w:numId w:val="2"/>
        </w:numPr>
        <w:tabs>
          <w:tab w:pos="393" w:val="left" w:leader="none"/>
        </w:tabs>
        <w:spacing w:line="235" w:lineRule="auto" w:before="1" w:after="0"/>
        <w:ind w:left="392" w:right="38" w:hanging="280"/>
        <w:jc w:val="both"/>
        <w:rPr>
          <w:sz w:val="16"/>
        </w:rPr>
      </w:pPr>
      <w:r>
        <w:rPr>
          <w:color w:val="231F20"/>
          <w:sz w:val="16"/>
        </w:rPr>
        <w:t>Potta SG, Minemi S, Nukala RK, Peinado  C,  Lamprou  DA, Urquhart A, </w:t>
      </w:r>
      <w:r>
        <w:rPr>
          <w:i/>
          <w:color w:val="231F20"/>
          <w:sz w:val="16"/>
        </w:rPr>
        <w:t>et al. </w:t>
      </w:r>
      <w:r>
        <w:rPr>
          <w:color w:val="231F20"/>
          <w:sz w:val="16"/>
        </w:rPr>
        <w:t>Preparation and characterization  of  ibuprofen  solid lipid nanoparticles with enhanced solubility. J Microencapsul 2011;28:74-81.</w:t>
      </w:r>
    </w:p>
    <w:p>
      <w:pPr>
        <w:pStyle w:val="ListParagraph"/>
        <w:numPr>
          <w:ilvl w:val="0"/>
          <w:numId w:val="2"/>
        </w:numPr>
        <w:tabs>
          <w:tab w:pos="393" w:val="left" w:leader="none"/>
        </w:tabs>
        <w:spacing w:line="235" w:lineRule="auto" w:before="1" w:after="0"/>
        <w:ind w:left="392" w:right="39" w:hanging="280"/>
        <w:jc w:val="both"/>
        <w:rPr>
          <w:sz w:val="16"/>
        </w:rPr>
      </w:pPr>
      <w:r>
        <w:rPr>
          <w:color w:val="231F20"/>
          <w:sz w:val="16"/>
        </w:rPr>
        <w:t>Omwoyo WN, Melariri </w:t>
      </w:r>
      <w:r>
        <w:rPr>
          <w:color w:val="231F20"/>
          <w:spacing w:val="-9"/>
          <w:sz w:val="16"/>
        </w:rPr>
        <w:t>P, </w:t>
      </w:r>
      <w:r>
        <w:rPr>
          <w:color w:val="231F20"/>
          <w:sz w:val="16"/>
        </w:rPr>
        <w:t>Gathirwa </w:t>
      </w:r>
      <w:r>
        <w:rPr>
          <w:color w:val="231F20"/>
          <w:spacing w:val="-6"/>
          <w:sz w:val="16"/>
        </w:rPr>
        <w:t>JW, </w:t>
      </w:r>
      <w:r>
        <w:rPr>
          <w:color w:val="231F20"/>
          <w:sz w:val="16"/>
        </w:rPr>
        <w:t>Oloo </w:t>
      </w:r>
      <w:r>
        <w:rPr>
          <w:color w:val="231F20"/>
          <w:spacing w:val="-7"/>
          <w:sz w:val="16"/>
        </w:rPr>
        <w:t>F,</w:t>
      </w:r>
      <w:r>
        <w:rPr>
          <w:color w:val="231F20"/>
          <w:spacing w:val="26"/>
          <w:sz w:val="16"/>
        </w:rPr>
        <w:t> </w:t>
      </w:r>
      <w:r>
        <w:rPr>
          <w:color w:val="231F20"/>
          <w:sz w:val="16"/>
        </w:rPr>
        <w:t>Mahanga GM, Kalombo L, </w:t>
      </w:r>
      <w:r>
        <w:rPr>
          <w:i/>
          <w:color w:val="231F20"/>
          <w:sz w:val="16"/>
        </w:rPr>
        <w:t>et al. </w:t>
      </w:r>
      <w:r>
        <w:rPr>
          <w:color w:val="231F20"/>
          <w:sz w:val="16"/>
        </w:rPr>
        <w:t>Development, characterization and</w:t>
      </w:r>
      <w:r>
        <w:rPr>
          <w:color w:val="231F20"/>
          <w:spacing w:val="30"/>
          <w:sz w:val="16"/>
        </w:rPr>
        <w:t> </w:t>
      </w:r>
      <w:r>
        <w:rPr>
          <w:color w:val="231F20"/>
          <w:sz w:val="16"/>
        </w:rPr>
        <w:t>antimalarial</w:t>
      </w:r>
    </w:p>
    <w:p>
      <w:pPr>
        <w:pStyle w:val="BodyText"/>
        <w:spacing w:line="235" w:lineRule="auto" w:before="96"/>
        <w:ind w:left="392" w:right="111"/>
        <w:jc w:val="both"/>
        <w:rPr>
          <w:rFonts w:ascii="Times New Roman"/>
        </w:rPr>
      </w:pPr>
      <w:r>
        <w:rPr/>
        <w:br w:type="column"/>
      </w:r>
      <w:r>
        <w:rPr>
          <w:rFonts w:ascii="Times New Roman"/>
          <w:color w:val="231F20"/>
        </w:rPr>
        <w:t>efficacy of dihydroartemisinin loaded solid lipid nanoparticles. Nanomedicine 2016;12:801-9.</w:t>
      </w:r>
    </w:p>
    <w:p>
      <w:pPr>
        <w:pStyle w:val="ListParagraph"/>
        <w:numPr>
          <w:ilvl w:val="0"/>
          <w:numId w:val="2"/>
        </w:numPr>
        <w:tabs>
          <w:tab w:pos="393" w:val="left" w:leader="none"/>
        </w:tabs>
        <w:spacing w:line="235" w:lineRule="auto" w:before="0" w:after="0"/>
        <w:ind w:left="392" w:right="110" w:hanging="280"/>
        <w:jc w:val="both"/>
        <w:rPr>
          <w:sz w:val="16"/>
        </w:rPr>
      </w:pPr>
      <w:r>
        <w:rPr>
          <w:color w:val="231F20"/>
          <w:sz w:val="16"/>
        </w:rPr>
        <w:t>Giri TK, Kumar K, Alexander A, Ajazuddin AA, Badwaik H, Tripathi DK. A novel and alternative approach to controlled release drug delivery system based on solid dispersion technique. Bull Fac Pharm Cairo Univ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2012;50:147-59.</w:t>
      </w:r>
    </w:p>
    <w:p>
      <w:pPr>
        <w:pStyle w:val="ListParagraph"/>
        <w:numPr>
          <w:ilvl w:val="0"/>
          <w:numId w:val="2"/>
        </w:numPr>
        <w:tabs>
          <w:tab w:pos="393" w:val="left" w:leader="none"/>
        </w:tabs>
        <w:spacing w:line="235" w:lineRule="auto" w:before="0" w:after="0"/>
        <w:ind w:left="392" w:right="109" w:hanging="280"/>
        <w:jc w:val="both"/>
        <w:rPr>
          <w:sz w:val="16"/>
        </w:rPr>
      </w:pPr>
      <w:r>
        <w:rPr>
          <w:color w:val="231F20"/>
          <w:sz w:val="16"/>
        </w:rPr>
        <w:t>Westesen K, Bunjes H, Koch MH. Physicochemical characterization of lipid nanoparticles and evaluation of their drug loading capacity </w:t>
      </w:r>
      <w:r>
        <w:rPr>
          <w:color w:val="231F20"/>
          <w:spacing w:val="-4"/>
          <w:sz w:val="16"/>
        </w:rPr>
        <w:t>and </w:t>
      </w:r>
      <w:r>
        <w:rPr>
          <w:color w:val="231F20"/>
          <w:sz w:val="16"/>
        </w:rPr>
        <w:t>sustained release potential. J Control Release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1997;48:223-36.</w:t>
      </w:r>
    </w:p>
    <w:p>
      <w:pPr>
        <w:pStyle w:val="ListParagraph"/>
        <w:numPr>
          <w:ilvl w:val="0"/>
          <w:numId w:val="2"/>
        </w:numPr>
        <w:tabs>
          <w:tab w:pos="393" w:val="left" w:leader="none"/>
        </w:tabs>
        <w:spacing w:line="235" w:lineRule="auto" w:before="0" w:after="0"/>
        <w:ind w:left="392" w:right="111" w:hanging="280"/>
        <w:jc w:val="both"/>
        <w:rPr>
          <w:sz w:val="16"/>
        </w:rPr>
      </w:pPr>
      <w:r>
        <w:rPr>
          <w:color w:val="231F20"/>
          <w:sz w:val="16"/>
        </w:rPr>
        <w:t>Begum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N,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Sailaja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KA.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Effect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formulation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variables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on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preparation of ibuprofen loaded polymeric nanoparticles. Pharm Nanotechnol 2016;3:111-21.</w:t>
      </w:r>
    </w:p>
    <w:p>
      <w:pPr>
        <w:pStyle w:val="ListParagraph"/>
        <w:numPr>
          <w:ilvl w:val="0"/>
          <w:numId w:val="2"/>
        </w:numPr>
        <w:tabs>
          <w:tab w:pos="393" w:val="left" w:leader="none"/>
        </w:tabs>
        <w:spacing w:line="235" w:lineRule="auto" w:before="0" w:after="0"/>
        <w:ind w:left="392" w:right="112" w:hanging="280"/>
        <w:jc w:val="both"/>
        <w:rPr>
          <w:sz w:val="16"/>
        </w:rPr>
      </w:pPr>
      <w:r>
        <w:rPr>
          <w:color w:val="231F20"/>
          <w:sz w:val="16"/>
        </w:rPr>
        <w:t>Cooper DL, Harirforoosh S. Design and optimization of PLGA-based diclofenac loaded nanoparticles. PLoS One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2014;9:e87326.</w:t>
      </w:r>
    </w:p>
    <w:p>
      <w:pPr>
        <w:pStyle w:val="ListParagraph"/>
        <w:numPr>
          <w:ilvl w:val="0"/>
          <w:numId w:val="2"/>
        </w:numPr>
        <w:tabs>
          <w:tab w:pos="393" w:val="left" w:leader="none"/>
        </w:tabs>
        <w:spacing w:line="235" w:lineRule="auto" w:before="0" w:after="0"/>
        <w:ind w:left="392" w:right="110" w:hanging="280"/>
        <w:jc w:val="both"/>
        <w:rPr>
          <w:sz w:val="16"/>
        </w:rPr>
      </w:pPr>
      <w:r>
        <w:rPr>
          <w:color w:val="231F20"/>
          <w:sz w:val="16"/>
        </w:rPr>
        <w:t>Akbari Z, Amanlou M, Karimi-Sabet J, Golestani A, Niassar MS. Production of ibuprofen-loaded solid lipid nanoparticles using rapid expansion of supercritical solution. J Nano Res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2015;31:15-29.</w:t>
      </w:r>
    </w:p>
    <w:p>
      <w:pPr>
        <w:pStyle w:val="ListParagraph"/>
        <w:numPr>
          <w:ilvl w:val="0"/>
          <w:numId w:val="2"/>
        </w:numPr>
        <w:tabs>
          <w:tab w:pos="393" w:val="left" w:leader="none"/>
        </w:tabs>
        <w:spacing w:line="235" w:lineRule="auto" w:before="0" w:after="0"/>
        <w:ind w:left="392" w:right="110" w:hanging="280"/>
        <w:jc w:val="both"/>
        <w:rPr>
          <w:sz w:val="16"/>
        </w:rPr>
      </w:pPr>
      <w:r>
        <w:rPr>
          <w:color w:val="231F20"/>
          <w:sz w:val="16"/>
        </w:rPr>
        <w:t>Sastre </w:t>
      </w:r>
      <w:r>
        <w:rPr>
          <w:color w:val="231F20"/>
          <w:spacing w:val="-11"/>
          <w:sz w:val="16"/>
        </w:rPr>
        <w:t>V, </w:t>
      </w:r>
      <w:r>
        <w:rPr>
          <w:color w:val="231F20"/>
          <w:sz w:val="16"/>
        </w:rPr>
        <w:t>Ghaly ES. Controlled release ibuprofen nanoparticles : Physico-chemical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characterization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drug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release.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Int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J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Pharm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Pharm Sci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2014;6:99-107.</w:t>
      </w:r>
    </w:p>
    <w:p>
      <w:pPr>
        <w:pStyle w:val="ListParagraph"/>
        <w:numPr>
          <w:ilvl w:val="0"/>
          <w:numId w:val="2"/>
        </w:numPr>
        <w:tabs>
          <w:tab w:pos="393" w:val="left" w:leader="none"/>
        </w:tabs>
        <w:spacing w:line="235" w:lineRule="auto" w:before="0" w:after="0"/>
        <w:ind w:left="392" w:right="110" w:hanging="280"/>
        <w:jc w:val="both"/>
        <w:rPr>
          <w:sz w:val="16"/>
        </w:rPr>
      </w:pPr>
      <w:r>
        <w:rPr>
          <w:color w:val="231F20"/>
          <w:sz w:val="16"/>
        </w:rPr>
        <w:t>Hasnain MS, Nayak AK. Solubility and dissolution enhancement of ibuprofen by solid dispersion technique using PEG 6000-PVP K 30 combination carrier. Bulg J Sci Educ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2012;21:118-32.</w:t>
      </w:r>
    </w:p>
    <w:p>
      <w:pPr>
        <w:pStyle w:val="ListParagraph"/>
        <w:numPr>
          <w:ilvl w:val="0"/>
          <w:numId w:val="2"/>
        </w:numPr>
        <w:tabs>
          <w:tab w:pos="393" w:val="left" w:leader="none"/>
        </w:tabs>
        <w:spacing w:line="235" w:lineRule="auto" w:before="0" w:after="0"/>
        <w:ind w:left="392" w:right="110" w:hanging="280"/>
        <w:jc w:val="both"/>
        <w:rPr>
          <w:sz w:val="16"/>
        </w:rPr>
      </w:pPr>
      <w:r>
        <w:rPr>
          <w:color w:val="231F20"/>
          <w:sz w:val="16"/>
        </w:rPr>
        <w:t>Kotcherlakota R, Barui AK, Prashar S, Fajardo M, Briones D, Rodríguez-Diéguez A, </w:t>
      </w:r>
      <w:r>
        <w:rPr>
          <w:i/>
          <w:color w:val="231F20"/>
          <w:sz w:val="16"/>
        </w:rPr>
        <w:t>et al. </w:t>
      </w:r>
      <w:r>
        <w:rPr>
          <w:color w:val="231F20"/>
          <w:sz w:val="16"/>
        </w:rPr>
        <w:t>Curcumin  loaded  mesoporous  silica:  An effective drug delivery system for cancer treatment. Biomater Sci 2016;4:448-59.</w:t>
      </w:r>
    </w:p>
    <w:p>
      <w:pPr>
        <w:pStyle w:val="ListParagraph"/>
        <w:numPr>
          <w:ilvl w:val="0"/>
          <w:numId w:val="2"/>
        </w:numPr>
        <w:tabs>
          <w:tab w:pos="393" w:val="left" w:leader="none"/>
        </w:tabs>
        <w:spacing w:line="235" w:lineRule="auto" w:before="0" w:after="0"/>
        <w:ind w:left="392" w:right="110" w:hanging="280"/>
        <w:jc w:val="both"/>
        <w:rPr>
          <w:sz w:val="16"/>
        </w:rPr>
      </w:pPr>
      <w:r>
        <w:rPr>
          <w:color w:val="231F20"/>
          <w:sz w:val="16"/>
        </w:rPr>
        <w:t>Patil SJ, Kumar </w:t>
      </w:r>
      <w:r>
        <w:rPr>
          <w:color w:val="231F20"/>
          <w:spacing w:val="-8"/>
          <w:sz w:val="16"/>
        </w:rPr>
        <w:t>SY, </w:t>
      </w:r>
      <w:r>
        <w:rPr>
          <w:color w:val="231F20"/>
          <w:sz w:val="16"/>
        </w:rPr>
        <w:t>Mokale </w:t>
      </w:r>
      <w:r>
        <w:rPr>
          <w:color w:val="231F20"/>
          <w:spacing w:val="-8"/>
          <w:sz w:val="16"/>
        </w:rPr>
        <w:t>JV, </w:t>
      </w:r>
      <w:r>
        <w:rPr>
          <w:color w:val="231F20"/>
          <w:sz w:val="16"/>
        </w:rPr>
        <w:t>Naik BJ. Development of surfactant free nanoparticles by a single emulsion high pressure homogenization technique and effect of formulation parameters on the drug entrapment and release. Int J Pharm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2013;3:843-52.</w:t>
      </w:r>
    </w:p>
    <w:p>
      <w:pPr>
        <w:pStyle w:val="ListParagraph"/>
        <w:numPr>
          <w:ilvl w:val="0"/>
          <w:numId w:val="2"/>
        </w:numPr>
        <w:tabs>
          <w:tab w:pos="393" w:val="left" w:leader="none"/>
        </w:tabs>
        <w:spacing w:line="235" w:lineRule="auto" w:before="0" w:after="0"/>
        <w:ind w:left="392" w:right="109" w:hanging="280"/>
        <w:jc w:val="both"/>
        <w:rPr>
          <w:sz w:val="16"/>
        </w:rPr>
      </w:pPr>
      <w:r>
        <w:rPr>
          <w:color w:val="231F20"/>
          <w:sz w:val="16"/>
        </w:rPr>
        <w:t>Vineeth </w:t>
      </w:r>
      <w:r>
        <w:rPr>
          <w:color w:val="231F20"/>
          <w:spacing w:val="-9"/>
          <w:sz w:val="16"/>
        </w:rPr>
        <w:t>P, </w:t>
      </w:r>
      <w:r>
        <w:rPr>
          <w:color w:val="231F20"/>
          <w:sz w:val="16"/>
        </w:rPr>
        <w:t>Rao PR, Kumar K, Babu BD, Veerabhadra RA, Suresh BK. Influence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organic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solvents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on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nanoparticle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formation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surfactants on release behaviour in-vitro using costunolide as model anticancer agent. Int J Pharm Pharm Sci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2014;6:638-45.</w:t>
      </w:r>
    </w:p>
    <w:p>
      <w:pPr>
        <w:pStyle w:val="ListParagraph"/>
        <w:numPr>
          <w:ilvl w:val="0"/>
          <w:numId w:val="2"/>
        </w:numPr>
        <w:tabs>
          <w:tab w:pos="393" w:val="left" w:leader="none"/>
        </w:tabs>
        <w:spacing w:line="235" w:lineRule="auto" w:before="0" w:after="0"/>
        <w:ind w:left="392" w:right="111" w:hanging="280"/>
        <w:jc w:val="both"/>
        <w:rPr>
          <w:sz w:val="16"/>
        </w:rPr>
      </w:pPr>
      <w:r>
        <w:rPr>
          <w:color w:val="231F20"/>
          <w:sz w:val="16"/>
        </w:rPr>
        <w:t>Gouda R, Baishya H, Quing Z. Application of mathematical models  in drug release kinetics of carbidopa and levodopa ER tablets. J Dev Drugs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2017;6:1-8.</w:t>
      </w:r>
    </w:p>
    <w:p>
      <w:pPr>
        <w:pStyle w:val="ListParagraph"/>
        <w:numPr>
          <w:ilvl w:val="0"/>
          <w:numId w:val="2"/>
        </w:numPr>
        <w:tabs>
          <w:tab w:pos="393" w:val="left" w:leader="none"/>
        </w:tabs>
        <w:spacing w:line="235" w:lineRule="auto" w:before="0" w:after="0"/>
        <w:ind w:left="392" w:right="111" w:hanging="280"/>
        <w:jc w:val="both"/>
        <w:rPr>
          <w:sz w:val="16"/>
        </w:rPr>
      </w:pPr>
      <w:r>
        <w:rPr>
          <w:color w:val="231F20"/>
          <w:sz w:val="16"/>
        </w:rPr>
        <w:t>Dash S, Murthy PN, Nath L, Chowdhury </w:t>
      </w:r>
      <w:r>
        <w:rPr>
          <w:color w:val="231F20"/>
          <w:spacing w:val="-9"/>
          <w:sz w:val="16"/>
        </w:rPr>
        <w:t>P.  </w:t>
      </w:r>
      <w:r>
        <w:rPr>
          <w:color w:val="231F20"/>
          <w:sz w:val="16"/>
        </w:rPr>
        <w:t>Kinetic  modeling  on drug release from controlled drug delivery systems. Acta Pol Pharm 2010;67:217-23.</w:t>
      </w:r>
    </w:p>
    <w:p>
      <w:pPr>
        <w:pStyle w:val="ListParagraph"/>
        <w:numPr>
          <w:ilvl w:val="0"/>
          <w:numId w:val="2"/>
        </w:numPr>
        <w:tabs>
          <w:tab w:pos="393" w:val="left" w:leader="none"/>
        </w:tabs>
        <w:spacing w:line="235" w:lineRule="auto" w:before="0" w:after="0"/>
        <w:ind w:left="392" w:right="111" w:hanging="280"/>
        <w:jc w:val="both"/>
        <w:rPr>
          <w:sz w:val="16"/>
        </w:rPr>
      </w:pPr>
      <w:r>
        <w:rPr>
          <w:color w:val="231F20"/>
          <w:sz w:val="16"/>
        </w:rPr>
        <w:t>Higuchi </w:t>
      </w:r>
      <w:r>
        <w:rPr>
          <w:color w:val="231F20"/>
          <w:spacing w:val="-6"/>
          <w:sz w:val="16"/>
        </w:rPr>
        <w:t>T. </w:t>
      </w:r>
      <w:r>
        <w:rPr>
          <w:color w:val="231F20"/>
          <w:sz w:val="16"/>
        </w:rPr>
        <w:t>Mechanism of sustained-action medication. theoretical analysis of rate of release of solid drugs dispersed in solid matrices.    J Pharm Sci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1963;52:1145-9.</w:t>
      </w:r>
    </w:p>
    <w:p>
      <w:pPr>
        <w:pStyle w:val="ListParagraph"/>
        <w:numPr>
          <w:ilvl w:val="0"/>
          <w:numId w:val="2"/>
        </w:numPr>
        <w:tabs>
          <w:tab w:pos="393" w:val="left" w:leader="none"/>
        </w:tabs>
        <w:spacing w:line="235" w:lineRule="auto" w:before="0" w:after="0"/>
        <w:ind w:left="392" w:right="111" w:hanging="280"/>
        <w:jc w:val="both"/>
        <w:rPr>
          <w:sz w:val="16"/>
        </w:rPr>
      </w:pPr>
      <w:r>
        <w:rPr>
          <w:color w:val="231F20"/>
          <w:sz w:val="16"/>
        </w:rPr>
        <w:t>Owuor J, Oloo </w:t>
      </w:r>
      <w:r>
        <w:rPr>
          <w:color w:val="231F20"/>
          <w:spacing w:val="-7"/>
          <w:sz w:val="16"/>
        </w:rPr>
        <w:t>F, </w:t>
      </w:r>
      <w:r>
        <w:rPr>
          <w:color w:val="231F20"/>
          <w:sz w:val="16"/>
        </w:rPr>
        <w:t>Ngetich  J,  Nyaigoti </w:t>
      </w:r>
      <w:r>
        <w:rPr>
          <w:color w:val="231F20"/>
          <w:spacing w:val="-8"/>
          <w:sz w:val="16"/>
        </w:rPr>
        <w:t>W,  </w:t>
      </w:r>
      <w:r>
        <w:rPr>
          <w:color w:val="231F20"/>
          <w:sz w:val="16"/>
        </w:rPr>
        <w:t>Gathirwa  J.  Comparison of freeze and spray drying to obtain primaquine-loaded solid lipid nanoparticles. Drug Des Dev Ther Comp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2017;1:1-8.</w:t>
      </w:r>
    </w:p>
    <w:p>
      <w:pPr>
        <w:pStyle w:val="ListParagraph"/>
        <w:numPr>
          <w:ilvl w:val="0"/>
          <w:numId w:val="2"/>
        </w:numPr>
        <w:tabs>
          <w:tab w:pos="393" w:val="left" w:leader="none"/>
        </w:tabs>
        <w:spacing w:line="178" w:lineRule="exact" w:before="0" w:after="0"/>
        <w:ind w:left="392" w:right="0" w:hanging="281"/>
        <w:jc w:val="both"/>
        <w:rPr>
          <w:sz w:val="16"/>
        </w:rPr>
      </w:pPr>
      <w:r>
        <w:rPr>
          <w:color w:val="231F20"/>
          <w:sz w:val="16"/>
        </w:rPr>
        <w:t>Ritger</w:t>
      </w:r>
      <w:r>
        <w:rPr>
          <w:color w:val="231F20"/>
          <w:spacing w:val="-9"/>
          <w:sz w:val="16"/>
        </w:rPr>
        <w:t> P,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Peppas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NA.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simple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equation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for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description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solute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release</w:t>
      </w:r>
    </w:p>
    <w:p>
      <w:pPr>
        <w:pStyle w:val="ListParagraph"/>
        <w:numPr>
          <w:ilvl w:val="1"/>
          <w:numId w:val="2"/>
        </w:numPr>
        <w:tabs>
          <w:tab w:pos="548" w:val="left" w:leader="none"/>
        </w:tabs>
        <w:spacing w:line="235" w:lineRule="auto" w:before="0" w:after="0"/>
        <w:ind w:left="392" w:right="110" w:firstLine="0"/>
        <w:jc w:val="both"/>
        <w:rPr>
          <w:sz w:val="16"/>
        </w:rPr>
      </w:pPr>
      <w:r>
        <w:rPr>
          <w:color w:val="231F20"/>
          <w:sz w:val="16"/>
        </w:rPr>
        <w:t>Fickian and non-fickian release from non-swellable devices in the form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slabs,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spheres,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cylinders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or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discs.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J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Control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Release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1987;5:23-6.</w:t>
      </w:r>
    </w:p>
    <w:p>
      <w:pPr>
        <w:pStyle w:val="ListParagraph"/>
        <w:numPr>
          <w:ilvl w:val="0"/>
          <w:numId w:val="2"/>
        </w:numPr>
        <w:tabs>
          <w:tab w:pos="393" w:val="left" w:leader="none"/>
        </w:tabs>
        <w:spacing w:line="235" w:lineRule="auto" w:before="0" w:after="0"/>
        <w:ind w:left="392" w:right="112" w:hanging="280"/>
        <w:jc w:val="both"/>
        <w:rPr>
          <w:sz w:val="16"/>
        </w:rPr>
      </w:pPr>
      <w:r>
        <w:rPr>
          <w:color w:val="231F20"/>
          <w:sz w:val="16"/>
        </w:rPr>
        <w:t>Peppas NA, Khare AR. Preparation, structure and diffusional behavior of hydrogels in controlled release. Adv Drug Deliv Rev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1993;11:1-35.</w:t>
      </w:r>
    </w:p>
    <w:p>
      <w:pPr>
        <w:pStyle w:val="ListParagraph"/>
        <w:numPr>
          <w:ilvl w:val="0"/>
          <w:numId w:val="2"/>
        </w:numPr>
        <w:tabs>
          <w:tab w:pos="393" w:val="left" w:leader="none"/>
        </w:tabs>
        <w:spacing w:line="235" w:lineRule="auto" w:before="0" w:after="0"/>
        <w:ind w:left="392" w:right="110" w:hanging="280"/>
        <w:jc w:val="both"/>
        <w:rPr>
          <w:sz w:val="16"/>
        </w:rPr>
      </w:pPr>
      <w:r>
        <w:rPr>
          <w:color w:val="231F20"/>
          <w:sz w:val="16"/>
        </w:rPr>
        <w:t>Basak SC, Kumar KS, Ramalingam M. Design and release characteristics of sustained release tablet containing metformin HCl. Rev Bras Cienc Farm J Pharm Sci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2008;44:477-83.</w:t>
      </w:r>
    </w:p>
    <w:p>
      <w:pPr>
        <w:pStyle w:val="ListParagraph"/>
        <w:numPr>
          <w:ilvl w:val="0"/>
          <w:numId w:val="2"/>
        </w:numPr>
        <w:tabs>
          <w:tab w:pos="393" w:val="left" w:leader="none"/>
        </w:tabs>
        <w:spacing w:line="235" w:lineRule="auto" w:before="0" w:after="0"/>
        <w:ind w:left="392" w:right="110" w:hanging="280"/>
        <w:jc w:val="both"/>
        <w:rPr>
          <w:sz w:val="16"/>
        </w:rPr>
      </w:pPr>
      <w:r>
        <w:rPr>
          <w:color w:val="231F20"/>
          <w:sz w:val="16"/>
        </w:rPr>
        <w:t>Jana U, Mohanty AK, Manna PK, Mohanta </w:t>
      </w:r>
      <w:r>
        <w:rPr>
          <w:color w:val="231F20"/>
          <w:spacing w:val="-7"/>
          <w:sz w:val="16"/>
        </w:rPr>
        <w:t>GP.</w:t>
      </w:r>
      <w:r>
        <w:rPr>
          <w:color w:val="231F20"/>
          <w:spacing w:val="26"/>
          <w:sz w:val="16"/>
        </w:rPr>
        <w:t> </w:t>
      </w:r>
      <w:r>
        <w:rPr>
          <w:color w:val="231F20"/>
          <w:sz w:val="16"/>
        </w:rPr>
        <w:t>Preparation and characterization of nebivolol nanoparticles using eudragit</w:t>
      </w:r>
      <w:r>
        <w:rPr>
          <w:color w:val="231F20"/>
          <w:sz w:val="16"/>
          <w:vertAlign w:val="superscript"/>
        </w:rPr>
        <w:t>®</w:t>
      </w:r>
      <w:r>
        <w:rPr>
          <w:color w:val="231F20"/>
          <w:sz w:val="16"/>
          <w:vertAlign w:val="baseline"/>
        </w:rPr>
        <w:t> </w:t>
      </w:r>
      <w:r>
        <w:rPr>
          <w:color w:val="231F20"/>
          <w:spacing w:val="-6"/>
          <w:sz w:val="16"/>
          <w:vertAlign w:val="baseline"/>
        </w:rPr>
        <w:t>RS100. </w:t>
      </w:r>
      <w:r>
        <w:rPr>
          <w:color w:val="231F20"/>
          <w:sz w:val="16"/>
          <w:vertAlign w:val="baseline"/>
        </w:rPr>
        <w:t>Colloids Surf B Biointerfaces</w:t>
      </w:r>
      <w:r>
        <w:rPr>
          <w:color w:val="231F20"/>
          <w:spacing w:val="-2"/>
          <w:sz w:val="16"/>
          <w:vertAlign w:val="baseline"/>
        </w:rPr>
        <w:t> </w:t>
      </w:r>
      <w:r>
        <w:rPr>
          <w:color w:val="231F20"/>
          <w:sz w:val="16"/>
          <w:vertAlign w:val="baseline"/>
        </w:rPr>
        <w:t>2014;113:269-75.</w:t>
      </w:r>
    </w:p>
    <w:p>
      <w:pPr>
        <w:pStyle w:val="ListParagraph"/>
        <w:numPr>
          <w:ilvl w:val="0"/>
          <w:numId w:val="2"/>
        </w:numPr>
        <w:tabs>
          <w:tab w:pos="393" w:val="left" w:leader="none"/>
        </w:tabs>
        <w:spacing w:line="235" w:lineRule="auto" w:before="0" w:after="0"/>
        <w:ind w:left="392" w:right="110" w:hanging="280"/>
        <w:jc w:val="both"/>
        <w:rPr>
          <w:sz w:val="16"/>
        </w:rPr>
      </w:pPr>
      <w:r>
        <w:rPr>
          <w:color w:val="231F20"/>
          <w:sz w:val="16"/>
        </w:rPr>
        <w:t>Arifin </w:t>
      </w:r>
      <w:r>
        <w:rPr>
          <w:color w:val="231F20"/>
          <w:spacing w:val="-8"/>
          <w:sz w:val="16"/>
        </w:rPr>
        <w:t>DY, </w:t>
      </w:r>
      <w:r>
        <w:rPr>
          <w:color w:val="231F20"/>
          <w:sz w:val="16"/>
        </w:rPr>
        <w:t>Lee </w:t>
      </w:r>
      <w:r>
        <w:rPr>
          <w:color w:val="231F20"/>
          <w:spacing w:val="-13"/>
          <w:sz w:val="16"/>
        </w:rPr>
        <w:t>LY, </w:t>
      </w:r>
      <w:r>
        <w:rPr>
          <w:color w:val="231F20"/>
          <w:spacing w:val="-4"/>
          <w:sz w:val="16"/>
        </w:rPr>
        <w:t>Wang </w:t>
      </w:r>
      <w:r>
        <w:rPr>
          <w:color w:val="231F20"/>
          <w:sz w:val="16"/>
        </w:rPr>
        <w:t>CH. Mathematical modeling and simulation of drug release from microspheres: Implications to drug delivery systems. Adv Drug Deliv Rev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2006;58:1274-325.</w:t>
      </w:r>
    </w:p>
    <w:sectPr>
      <w:type w:val="continuous"/>
      <w:pgSz w:w="11910" w:h="16840"/>
      <w:pgMar w:top="140" w:bottom="280" w:left="800" w:right="800"/>
      <w:cols w:num="2" w:equalWidth="0">
        <w:col w:w="4976" w:space="285"/>
        <w:col w:w="5049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Georgia">
    <w:altName w:val="Georgia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adea">
    <w:altName w:val="Caladea"/>
    <w:charset w:val="0"/>
    <w:family w:val="roman"/>
    <w:pitch w:val="variable"/>
  </w:font>
  <w:font w:name="DejaVu Serif">
    <w:altName w:val="DejaVu Serif"/>
    <w:charset w:val="0"/>
    <w:family w:val="roman"/>
    <w:pitch w:val="variable"/>
  </w:font>
  <w:font w:name="Symbol">
    <w:altName w:val="Symbol"/>
    <w:charset w:val="2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7.932983pt;margin-top:783.057312pt;width:14.9pt;height:11.4pt;mso-position-horizontal-relative:page;mso-position-vertical-relative:page;z-index:-16208896" type="#_x0000_t202" filled="false" stroked="false">
          <v:textbox inset="0,0,0,0">
            <w:txbxContent>
              <w:p>
                <w:pPr>
                  <w:pStyle w:val="BodyText"/>
                  <w:spacing w:before="23"/>
                  <w:ind w:left="60"/>
                </w:pPr>
                <w:r>
                  <w:rPr/>
                  <w:fldChar w:fldCharType="begin"/>
                </w:r>
                <w:r>
                  <w:rPr>
                    <w:color w:val="231F20"/>
                    <w:w w:val="9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59.64801pt;margin-top:33.767429pt;width:74.95pt;height:11.4pt;mso-position-horizontal-relative:page;mso-position-vertical-relative:page;z-index:-16209920" type="#_x0000_t202" filled="false" stroked="false">
          <v:textbox inset="0,0,0,0">
            <w:txbxContent>
              <w:p>
                <w:pPr>
                  <w:spacing w:before="25"/>
                  <w:ind w:left="20" w:right="0" w:firstLine="0"/>
                  <w:jc w:val="left"/>
                  <w:rPr>
                    <w:rFonts w:ascii="Georgia"/>
                    <w:b/>
                    <w:i/>
                    <w:sz w:val="16"/>
                  </w:rPr>
                </w:pPr>
                <w:r>
                  <w:rPr>
                    <w:rFonts w:ascii="Georgia"/>
                    <w:b/>
                    <w:i/>
                    <w:color w:val="231F20"/>
                    <w:w w:val="85"/>
                    <w:sz w:val="16"/>
                  </w:rPr>
                  <w:t>Omwoyo and</w:t>
                </w:r>
                <w:r>
                  <w:rPr>
                    <w:rFonts w:ascii="Georgia"/>
                    <w:b/>
                    <w:i/>
                    <w:color w:val="231F20"/>
                    <w:spacing w:val="-26"/>
                    <w:w w:val="85"/>
                    <w:sz w:val="16"/>
                  </w:rPr>
                  <w:t> </w:t>
                </w:r>
                <w:r>
                  <w:rPr>
                    <w:rFonts w:ascii="Georgia"/>
                    <w:b/>
                    <w:i/>
                    <w:color w:val="231F20"/>
                    <w:w w:val="85"/>
                    <w:sz w:val="16"/>
                  </w:rPr>
                  <w:t>Moloto</w:t>
                </w:r>
              </w:p>
            </w:txbxContent>
          </v:textbox>
          <w10:wrap type="none"/>
        </v:shape>
      </w:pict>
    </w:r>
    <w:r>
      <w:rPr/>
      <w:pict>
        <v:shape style="position:absolute;margin-left:367.912994pt;margin-top:43.767429pt;width:182.9pt;height:11.4pt;mso-position-horizontal-relative:page;mso-position-vertical-relative:page;z-index:-16209408" type="#_x0000_t202" filled="false" stroked="false">
          <v:textbox inset="0,0,0,0">
            <w:txbxContent>
              <w:p>
                <w:pPr>
                  <w:spacing w:before="25"/>
                  <w:ind w:left="20" w:right="0" w:firstLine="0"/>
                  <w:jc w:val="left"/>
                  <w:rPr>
                    <w:rFonts w:ascii="Georgia"/>
                    <w:b/>
                    <w:i/>
                    <w:sz w:val="16"/>
                  </w:rPr>
                </w:pPr>
                <w:r>
                  <w:rPr>
                    <w:rFonts w:ascii="Georgia"/>
                    <w:b/>
                    <w:i/>
                    <w:color w:val="231F20"/>
                    <w:w w:val="90"/>
                    <w:sz w:val="16"/>
                  </w:rPr>
                  <w:t>Asian</w:t>
                </w:r>
                <w:r>
                  <w:rPr>
                    <w:rFonts w:ascii="Georgia"/>
                    <w:b/>
                    <w:i/>
                    <w:color w:val="231F20"/>
                    <w:spacing w:val="-19"/>
                    <w:w w:val="90"/>
                    <w:sz w:val="16"/>
                  </w:rPr>
                  <w:t> </w:t>
                </w:r>
                <w:r>
                  <w:rPr>
                    <w:rFonts w:ascii="Georgia"/>
                    <w:b/>
                    <w:i/>
                    <w:color w:val="231F20"/>
                    <w:w w:val="90"/>
                    <w:sz w:val="16"/>
                  </w:rPr>
                  <w:t>J</w:t>
                </w:r>
                <w:r>
                  <w:rPr>
                    <w:rFonts w:ascii="Georgia"/>
                    <w:b/>
                    <w:i/>
                    <w:color w:val="231F20"/>
                    <w:spacing w:val="-19"/>
                    <w:w w:val="90"/>
                    <w:sz w:val="16"/>
                  </w:rPr>
                  <w:t> </w:t>
                </w:r>
                <w:r>
                  <w:rPr>
                    <w:rFonts w:ascii="Georgia"/>
                    <w:b/>
                    <w:i/>
                    <w:color w:val="231F20"/>
                    <w:w w:val="90"/>
                    <w:sz w:val="16"/>
                  </w:rPr>
                  <w:t>Pharm</w:t>
                </w:r>
                <w:r>
                  <w:rPr>
                    <w:rFonts w:ascii="Georgia"/>
                    <w:b/>
                    <w:i/>
                    <w:color w:val="231F20"/>
                    <w:spacing w:val="-19"/>
                    <w:w w:val="90"/>
                    <w:sz w:val="16"/>
                  </w:rPr>
                  <w:t> </w:t>
                </w:r>
                <w:r>
                  <w:rPr>
                    <w:rFonts w:ascii="Georgia"/>
                    <w:b/>
                    <w:i/>
                    <w:color w:val="231F20"/>
                    <w:w w:val="90"/>
                    <w:sz w:val="16"/>
                  </w:rPr>
                  <w:t>Clin</w:t>
                </w:r>
                <w:r>
                  <w:rPr>
                    <w:rFonts w:ascii="Georgia"/>
                    <w:b/>
                    <w:i/>
                    <w:color w:val="231F20"/>
                    <w:spacing w:val="-19"/>
                    <w:w w:val="90"/>
                    <w:sz w:val="16"/>
                  </w:rPr>
                  <w:t> </w:t>
                </w:r>
                <w:r>
                  <w:rPr>
                    <w:rFonts w:ascii="Georgia"/>
                    <w:b/>
                    <w:i/>
                    <w:color w:val="231F20"/>
                    <w:w w:val="90"/>
                    <w:sz w:val="16"/>
                  </w:rPr>
                  <w:t>Res,</w:t>
                </w:r>
                <w:r>
                  <w:rPr>
                    <w:rFonts w:ascii="Georgia"/>
                    <w:b/>
                    <w:i/>
                    <w:color w:val="231F20"/>
                    <w:spacing w:val="-19"/>
                    <w:w w:val="90"/>
                    <w:sz w:val="16"/>
                  </w:rPr>
                  <w:t> </w:t>
                </w:r>
                <w:r>
                  <w:rPr>
                    <w:rFonts w:ascii="Georgia"/>
                    <w:b/>
                    <w:i/>
                    <w:color w:val="231F20"/>
                    <w:spacing w:val="-4"/>
                    <w:w w:val="90"/>
                    <w:sz w:val="16"/>
                  </w:rPr>
                  <w:t>Vol</w:t>
                </w:r>
                <w:r>
                  <w:rPr>
                    <w:rFonts w:ascii="Georgia"/>
                    <w:b/>
                    <w:i/>
                    <w:color w:val="231F20"/>
                    <w:spacing w:val="-19"/>
                    <w:w w:val="90"/>
                    <w:sz w:val="16"/>
                  </w:rPr>
                  <w:t> </w:t>
                </w:r>
                <w:r>
                  <w:rPr>
                    <w:rFonts w:ascii="Georgia"/>
                    <w:b/>
                    <w:i/>
                    <w:color w:val="231F20"/>
                    <w:w w:val="90"/>
                    <w:sz w:val="16"/>
                  </w:rPr>
                  <w:t>12,</w:t>
                </w:r>
                <w:r>
                  <w:rPr>
                    <w:rFonts w:ascii="Georgia"/>
                    <w:b/>
                    <w:i/>
                    <w:color w:val="231F20"/>
                    <w:spacing w:val="-18"/>
                    <w:w w:val="90"/>
                    <w:sz w:val="16"/>
                  </w:rPr>
                  <w:t> </w:t>
                </w:r>
                <w:r>
                  <w:rPr>
                    <w:rFonts w:ascii="Georgia"/>
                    <w:b/>
                    <w:i/>
                    <w:color w:val="231F20"/>
                    <w:w w:val="90"/>
                    <w:sz w:val="16"/>
                  </w:rPr>
                  <w:t>Issue</w:t>
                </w:r>
                <w:r>
                  <w:rPr>
                    <w:rFonts w:ascii="Georgia"/>
                    <w:b/>
                    <w:i/>
                    <w:color w:val="231F20"/>
                    <w:spacing w:val="-19"/>
                    <w:w w:val="90"/>
                    <w:sz w:val="16"/>
                  </w:rPr>
                  <w:t> </w:t>
                </w:r>
                <w:r>
                  <w:rPr>
                    <w:rFonts w:ascii="Georgia"/>
                    <w:b/>
                    <w:i/>
                    <w:color w:val="231F20"/>
                    <w:w w:val="90"/>
                    <w:sz w:val="16"/>
                  </w:rPr>
                  <w:t>8,</w:t>
                </w:r>
                <w:r>
                  <w:rPr>
                    <w:rFonts w:ascii="Georgia"/>
                    <w:b/>
                    <w:i/>
                    <w:color w:val="231F20"/>
                    <w:spacing w:val="-19"/>
                    <w:w w:val="90"/>
                    <w:sz w:val="16"/>
                  </w:rPr>
                  <w:t> </w:t>
                </w:r>
                <w:r>
                  <w:rPr>
                    <w:rFonts w:ascii="Georgia"/>
                    <w:b/>
                    <w:i/>
                    <w:color w:val="231F20"/>
                    <w:w w:val="90"/>
                    <w:sz w:val="16"/>
                  </w:rPr>
                  <w:t>2019,</w:t>
                </w:r>
                <w:r>
                  <w:rPr>
                    <w:rFonts w:ascii="Georgia"/>
                    <w:b/>
                    <w:i/>
                    <w:color w:val="231F20"/>
                    <w:spacing w:val="-19"/>
                    <w:w w:val="90"/>
                    <w:sz w:val="16"/>
                  </w:rPr>
                  <w:t> </w:t>
                </w:r>
                <w:r>
                  <w:rPr>
                    <w:rFonts w:ascii="Georgia"/>
                    <w:b/>
                    <w:i/>
                    <w:color w:val="231F20"/>
                    <w:w w:val="90"/>
                    <w:sz w:val="16"/>
                  </w:rPr>
                  <w:t>74-81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392" w:hanging="280"/>
        <w:jc w:val="left"/>
      </w:pPr>
      <w:rPr>
        <w:rFonts w:hint="default" w:ascii="Times New Roman" w:hAnsi="Times New Roman" w:eastAsia="Times New Roman" w:cs="Times New Roman"/>
        <w:color w:val="231F20"/>
        <w:spacing w:val="-19"/>
        <w:w w:val="100"/>
        <w:sz w:val="16"/>
        <w:szCs w:val="16"/>
        <w:lang w:val="en-US" w:eastAsia="en-US" w:bidi="ar-SA"/>
      </w:rPr>
    </w:lvl>
    <w:lvl w:ilvl="1">
      <w:start w:val="1"/>
      <w:numFmt w:val="upperRoman"/>
      <w:lvlText w:val="%2."/>
      <w:lvlJc w:val="left"/>
      <w:pPr>
        <w:ind w:left="392" w:hanging="155"/>
        <w:jc w:val="left"/>
      </w:pPr>
      <w:rPr>
        <w:rFonts w:hint="default" w:ascii="Times New Roman" w:hAnsi="Times New Roman" w:eastAsia="Times New Roman" w:cs="Times New Roman"/>
        <w:color w:val="231F20"/>
        <w:spacing w:val="-20"/>
        <w:w w:val="100"/>
        <w:sz w:val="16"/>
        <w:szCs w:val="1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2" w:hanging="15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4" w:hanging="15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5" w:hanging="15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" w:hanging="15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-12" w:hanging="15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-80" w:hanging="15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-149" w:hanging="155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396" w:hanging="284"/>
      </w:pPr>
      <w:rPr>
        <w:rFonts w:hint="default" w:ascii="DejaVu Serif" w:hAnsi="DejaVu Serif" w:eastAsia="DejaVu Serif" w:cs="DejaVu Serif"/>
        <w:color w:val="231F20"/>
        <w:w w:val="75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57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15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73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31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88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46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04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62" w:hanging="284"/>
      </w:pPr>
      <w:rPr>
        <w:rFonts w:hint="default"/>
        <w:lang w:val="en-U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ejaVu Serif" w:hAnsi="DejaVu Serif" w:eastAsia="DejaVu Serif" w:cs="DejaVu Serif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DejaVu Serif" w:hAnsi="DejaVu Serif" w:eastAsia="DejaVu Serif" w:cs="DejaVu Serif"/>
      <w:sz w:val="16"/>
      <w:szCs w:val="16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47"/>
      <w:ind w:left="207"/>
      <w:outlineLvl w:val="1"/>
    </w:pPr>
    <w:rPr>
      <w:rFonts w:ascii="Caladea" w:hAnsi="Caladea" w:eastAsia="Caladea" w:cs="Caladea"/>
      <w:b/>
      <w:bCs/>
      <w:sz w:val="20"/>
      <w:szCs w:val="20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12"/>
      <w:outlineLvl w:val="2"/>
    </w:pPr>
    <w:rPr>
      <w:rFonts w:ascii="Caladea" w:hAnsi="Caladea" w:eastAsia="Caladea" w:cs="Caladea"/>
      <w:b/>
      <w:bCs/>
      <w:sz w:val="16"/>
      <w:szCs w:val="16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55"/>
      <w:ind w:left="208" w:right="208"/>
      <w:jc w:val="center"/>
    </w:pPr>
    <w:rPr>
      <w:rFonts w:ascii="Caladea" w:hAnsi="Caladea" w:eastAsia="Caladea" w:cs="Caladea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392" w:right="39" w:hanging="280"/>
      <w:jc w:val="both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2"/>
      <w:ind w:left="60"/>
    </w:pPr>
    <w:rPr>
      <w:rFonts w:ascii="DejaVu Serif" w:hAnsi="DejaVu Serif" w:eastAsia="DejaVu Serif" w:cs="DejaVu Serif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mailto:makwenam@vut.ac.za" TargetMode="External"/><Relationship Id="rId7" Type="http://schemas.openxmlformats.org/officeDocument/2006/relationships/hyperlink" Target="http://creativecommons/" TargetMode="External"/><Relationship Id="rId8" Type="http://schemas.openxmlformats.org/officeDocument/2006/relationships/hyperlink" Target="http://dx.doi.org/10.22159/ajpcr.2019.v12i7.33652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image" Target="media/image2.jpeg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image" Target="media/image6.jpeg"/><Relationship Id="rId16" Type="http://schemas.openxmlformats.org/officeDocument/2006/relationships/image" Target="media/image7.png"/><Relationship Id="rId17" Type="http://schemas.openxmlformats.org/officeDocument/2006/relationships/image" Target="media/image8.jpeg"/><Relationship Id="rId18" Type="http://schemas.openxmlformats.org/officeDocument/2006/relationships/image" Target="media/image9.jpeg"/><Relationship Id="rId19" Type="http://schemas.openxmlformats.org/officeDocument/2006/relationships/image" Target="media/image10.jpeg"/><Relationship Id="rId20" Type="http://schemas.openxmlformats.org/officeDocument/2006/relationships/image" Target="media/image11.jpeg"/><Relationship Id="rId21" Type="http://schemas.openxmlformats.org/officeDocument/2006/relationships/image" Target="media/image12.jpeg"/><Relationship Id="rId2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.</dc:subject>
  <dc:title>.</dc:title>
  <dcterms:created xsi:type="dcterms:W3CDTF">2020-07-28T12:31:18Z</dcterms:created>
  <dcterms:modified xsi:type="dcterms:W3CDTF">2020-07-28T12:31:18Z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2019-07-31T00:00:00Z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2020-07-28T00:00:00Z</vt:filetime>
  </property>
</Properties>
</file>